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64B6F" w14:textId="77777777" w:rsidR="00000000" w:rsidRDefault="00000000">
      <w:pPr>
        <w:widowControl w:val="0"/>
        <w:autoSpaceDE w:val="0"/>
        <w:autoSpaceDN w:val="0"/>
        <w:adjustRightInd w:val="0"/>
        <w:spacing w:after="0" w:line="240" w:lineRule="auto"/>
        <w:rPr>
          <w:rFonts w:ascii="Verdana" w:hAnsi="Verdana" w:cs="Verdana"/>
          <w:kern w:val="0"/>
          <w:sz w:val="20"/>
          <w:szCs w:val="20"/>
        </w:rPr>
      </w:pPr>
    </w:p>
    <w:p w14:paraId="02689F5E" w14:textId="77777777" w:rsidR="00000000" w:rsidRDefault="00000000">
      <w:pPr>
        <w:widowControl w:val="0"/>
        <w:autoSpaceDE w:val="0"/>
        <w:autoSpaceDN w:val="0"/>
        <w:adjustRightInd w:val="0"/>
        <w:spacing w:after="0" w:line="240" w:lineRule="auto"/>
        <w:rPr>
          <w:rFonts w:ascii="Verdana" w:hAnsi="Verdana" w:cs="Verdana"/>
          <w:color w:val="000000"/>
          <w:kern w:val="0"/>
          <w:sz w:val="20"/>
          <w:szCs w:val="20"/>
        </w:rPr>
      </w:pPr>
      <w:r>
        <w:rPr>
          <w:rFonts w:ascii="Verdana" w:hAnsi="Verdana" w:cs="Verdana"/>
          <w:b/>
          <w:bCs/>
          <w:color w:val="0000FF"/>
          <w:kern w:val="0"/>
          <w:sz w:val="20"/>
          <w:szCs w:val="20"/>
        </w:rPr>
        <w:t>Roj:</w:t>
      </w:r>
      <w:r>
        <w:rPr>
          <w:rFonts w:ascii="Verdana" w:hAnsi="Verdana" w:cs="Verdana"/>
          <w:color w:val="000000"/>
          <w:kern w:val="0"/>
          <w:sz w:val="20"/>
          <w:szCs w:val="20"/>
        </w:rPr>
        <w:t xml:space="preserve"> SAP CO 979/2026 </w:t>
      </w:r>
      <w:proofErr w:type="gramStart"/>
      <w:r>
        <w:rPr>
          <w:rFonts w:ascii="Verdana" w:hAnsi="Verdana" w:cs="Verdana"/>
          <w:color w:val="000000"/>
          <w:kern w:val="0"/>
          <w:sz w:val="20"/>
          <w:szCs w:val="20"/>
        </w:rPr>
        <w:t xml:space="preserve">- </w:t>
      </w:r>
      <w:r>
        <w:rPr>
          <w:rFonts w:ascii="Verdana" w:hAnsi="Verdana" w:cs="Verdana"/>
          <w:b/>
          <w:bCs/>
          <w:color w:val="0000FF"/>
          <w:kern w:val="0"/>
          <w:sz w:val="20"/>
          <w:szCs w:val="20"/>
        </w:rPr>
        <w:t xml:space="preserve"> ECLI</w:t>
      </w:r>
      <w:proofErr w:type="gramEnd"/>
      <w:r>
        <w:rPr>
          <w:rFonts w:ascii="Verdana" w:hAnsi="Verdana" w:cs="Verdana"/>
          <w:b/>
          <w:bCs/>
          <w:color w:val="0000FF"/>
          <w:kern w:val="0"/>
          <w:sz w:val="20"/>
          <w:szCs w:val="20"/>
        </w:rPr>
        <w:t>:</w:t>
      </w:r>
      <w:r>
        <w:rPr>
          <w:rFonts w:ascii="Verdana" w:hAnsi="Verdana" w:cs="Verdana"/>
          <w:color w:val="000000"/>
          <w:kern w:val="0"/>
          <w:sz w:val="20"/>
          <w:szCs w:val="20"/>
        </w:rPr>
        <w:t>ES:APCO:2026:979</w:t>
      </w:r>
    </w:p>
    <w:p w14:paraId="02B69BEA" w14:textId="77777777" w:rsidR="00000000" w:rsidRDefault="00000000">
      <w:pPr>
        <w:widowControl w:val="0"/>
        <w:autoSpaceDE w:val="0"/>
        <w:autoSpaceDN w:val="0"/>
        <w:adjustRightInd w:val="0"/>
        <w:spacing w:after="0" w:line="240" w:lineRule="auto"/>
        <w:rPr>
          <w:rFonts w:ascii="Verdana" w:hAnsi="Verdana" w:cs="Verdana"/>
          <w:color w:val="000000"/>
          <w:kern w:val="0"/>
          <w:sz w:val="20"/>
          <w:szCs w:val="20"/>
        </w:rPr>
      </w:pPr>
      <w:r>
        <w:rPr>
          <w:rFonts w:ascii="Verdana" w:hAnsi="Verdana" w:cs="Verdana"/>
          <w:b/>
          <w:bCs/>
          <w:color w:val="0000FF"/>
          <w:kern w:val="0"/>
          <w:sz w:val="20"/>
          <w:szCs w:val="20"/>
        </w:rPr>
        <w:t>Órgano:</w:t>
      </w:r>
      <w:r>
        <w:rPr>
          <w:rFonts w:ascii="Verdana" w:hAnsi="Verdana" w:cs="Verdana"/>
          <w:color w:val="000000"/>
          <w:kern w:val="0"/>
          <w:sz w:val="20"/>
          <w:szCs w:val="20"/>
        </w:rPr>
        <w:t xml:space="preserve"> Audiencia Provincial</w:t>
      </w:r>
    </w:p>
    <w:p w14:paraId="32880D6B" w14:textId="77777777" w:rsidR="00000000" w:rsidRDefault="00000000">
      <w:pPr>
        <w:widowControl w:val="0"/>
        <w:autoSpaceDE w:val="0"/>
        <w:autoSpaceDN w:val="0"/>
        <w:adjustRightInd w:val="0"/>
        <w:spacing w:after="0" w:line="240" w:lineRule="auto"/>
        <w:rPr>
          <w:rFonts w:ascii="Verdana" w:hAnsi="Verdana" w:cs="Verdana"/>
          <w:color w:val="000000"/>
          <w:kern w:val="0"/>
          <w:sz w:val="20"/>
          <w:szCs w:val="20"/>
        </w:rPr>
      </w:pPr>
      <w:r>
        <w:rPr>
          <w:rFonts w:ascii="Verdana" w:hAnsi="Verdana" w:cs="Verdana"/>
          <w:b/>
          <w:bCs/>
          <w:color w:val="0000FF"/>
          <w:kern w:val="0"/>
          <w:sz w:val="20"/>
          <w:szCs w:val="20"/>
        </w:rPr>
        <w:t>Sede:</w:t>
      </w:r>
      <w:r>
        <w:rPr>
          <w:rFonts w:ascii="Verdana" w:hAnsi="Verdana" w:cs="Verdana"/>
          <w:color w:val="000000"/>
          <w:kern w:val="0"/>
          <w:sz w:val="20"/>
          <w:szCs w:val="20"/>
        </w:rPr>
        <w:t xml:space="preserve"> Córdoba</w:t>
      </w:r>
    </w:p>
    <w:p w14:paraId="28778F32" w14:textId="77777777" w:rsidR="00000000" w:rsidRDefault="00000000">
      <w:pPr>
        <w:widowControl w:val="0"/>
        <w:autoSpaceDE w:val="0"/>
        <w:autoSpaceDN w:val="0"/>
        <w:adjustRightInd w:val="0"/>
        <w:spacing w:after="0" w:line="240" w:lineRule="auto"/>
        <w:rPr>
          <w:rFonts w:ascii="Verdana" w:hAnsi="Verdana" w:cs="Verdana"/>
          <w:color w:val="000000"/>
          <w:kern w:val="0"/>
          <w:sz w:val="20"/>
          <w:szCs w:val="20"/>
        </w:rPr>
      </w:pPr>
      <w:r>
        <w:rPr>
          <w:rFonts w:ascii="Verdana" w:hAnsi="Verdana" w:cs="Verdana"/>
          <w:b/>
          <w:bCs/>
          <w:color w:val="0000FF"/>
          <w:kern w:val="0"/>
          <w:sz w:val="20"/>
          <w:szCs w:val="20"/>
        </w:rPr>
        <w:t>Sección:</w:t>
      </w:r>
      <w:r>
        <w:rPr>
          <w:rFonts w:ascii="Verdana" w:hAnsi="Verdana" w:cs="Verdana"/>
          <w:color w:val="000000"/>
          <w:kern w:val="0"/>
          <w:sz w:val="20"/>
          <w:szCs w:val="20"/>
        </w:rPr>
        <w:t xml:space="preserve"> 1</w:t>
      </w:r>
    </w:p>
    <w:p w14:paraId="0DBD2E62" w14:textId="77777777" w:rsidR="00000000" w:rsidRDefault="00000000">
      <w:pPr>
        <w:widowControl w:val="0"/>
        <w:autoSpaceDE w:val="0"/>
        <w:autoSpaceDN w:val="0"/>
        <w:adjustRightInd w:val="0"/>
        <w:spacing w:after="0" w:line="240" w:lineRule="auto"/>
        <w:rPr>
          <w:rFonts w:ascii="Verdana" w:hAnsi="Verdana" w:cs="Verdana"/>
          <w:color w:val="000000"/>
          <w:kern w:val="0"/>
          <w:sz w:val="20"/>
          <w:szCs w:val="20"/>
        </w:rPr>
      </w:pPr>
      <w:proofErr w:type="spellStart"/>
      <w:r>
        <w:rPr>
          <w:rFonts w:ascii="Verdana" w:hAnsi="Verdana" w:cs="Verdana"/>
          <w:b/>
          <w:bCs/>
          <w:color w:val="0000FF"/>
          <w:kern w:val="0"/>
          <w:sz w:val="20"/>
          <w:szCs w:val="20"/>
        </w:rPr>
        <w:t>Nº</w:t>
      </w:r>
      <w:proofErr w:type="spellEnd"/>
      <w:r>
        <w:rPr>
          <w:rFonts w:ascii="Verdana" w:hAnsi="Verdana" w:cs="Verdana"/>
          <w:b/>
          <w:bCs/>
          <w:color w:val="0000FF"/>
          <w:kern w:val="0"/>
          <w:sz w:val="20"/>
          <w:szCs w:val="20"/>
        </w:rPr>
        <w:t xml:space="preserve"> de Recurso:</w:t>
      </w:r>
      <w:r>
        <w:rPr>
          <w:rFonts w:ascii="Verdana" w:hAnsi="Verdana" w:cs="Verdana"/>
          <w:color w:val="000000"/>
          <w:kern w:val="0"/>
          <w:sz w:val="20"/>
          <w:szCs w:val="20"/>
        </w:rPr>
        <w:t xml:space="preserve"> 1296/2025</w:t>
      </w:r>
    </w:p>
    <w:p w14:paraId="2DA92870" w14:textId="77777777" w:rsidR="00000000" w:rsidRDefault="00000000">
      <w:pPr>
        <w:widowControl w:val="0"/>
        <w:autoSpaceDE w:val="0"/>
        <w:autoSpaceDN w:val="0"/>
        <w:adjustRightInd w:val="0"/>
        <w:spacing w:after="0" w:line="240" w:lineRule="auto"/>
        <w:rPr>
          <w:rFonts w:ascii="Verdana" w:hAnsi="Verdana" w:cs="Verdana"/>
          <w:color w:val="000000"/>
          <w:kern w:val="0"/>
          <w:sz w:val="20"/>
          <w:szCs w:val="20"/>
        </w:rPr>
      </w:pPr>
      <w:proofErr w:type="spellStart"/>
      <w:r>
        <w:rPr>
          <w:rFonts w:ascii="Verdana" w:hAnsi="Verdana" w:cs="Verdana"/>
          <w:b/>
          <w:bCs/>
          <w:color w:val="0000FF"/>
          <w:kern w:val="0"/>
          <w:sz w:val="20"/>
          <w:szCs w:val="20"/>
        </w:rPr>
        <w:t>Nº</w:t>
      </w:r>
      <w:proofErr w:type="spellEnd"/>
      <w:r>
        <w:rPr>
          <w:rFonts w:ascii="Verdana" w:hAnsi="Verdana" w:cs="Verdana"/>
          <w:b/>
          <w:bCs/>
          <w:color w:val="0000FF"/>
          <w:kern w:val="0"/>
          <w:sz w:val="20"/>
          <w:szCs w:val="20"/>
        </w:rPr>
        <w:t xml:space="preserve"> de Resolución:</w:t>
      </w:r>
      <w:r>
        <w:rPr>
          <w:rFonts w:ascii="Verdana" w:hAnsi="Verdana" w:cs="Verdana"/>
          <w:color w:val="000000"/>
          <w:kern w:val="0"/>
          <w:sz w:val="20"/>
          <w:szCs w:val="20"/>
        </w:rPr>
        <w:t xml:space="preserve"> 560/2026</w:t>
      </w:r>
    </w:p>
    <w:p w14:paraId="4D812B6D" w14:textId="77777777" w:rsidR="00000000" w:rsidRDefault="00000000">
      <w:pPr>
        <w:widowControl w:val="0"/>
        <w:autoSpaceDE w:val="0"/>
        <w:autoSpaceDN w:val="0"/>
        <w:adjustRightInd w:val="0"/>
        <w:spacing w:after="0" w:line="240" w:lineRule="auto"/>
        <w:rPr>
          <w:rFonts w:ascii="Verdana" w:hAnsi="Verdana" w:cs="Verdana"/>
          <w:color w:val="000000"/>
          <w:kern w:val="0"/>
          <w:sz w:val="20"/>
          <w:szCs w:val="20"/>
        </w:rPr>
      </w:pPr>
      <w:r>
        <w:rPr>
          <w:rFonts w:ascii="Verdana" w:hAnsi="Verdana" w:cs="Verdana"/>
          <w:b/>
          <w:bCs/>
          <w:color w:val="0000FF"/>
          <w:kern w:val="0"/>
          <w:sz w:val="20"/>
          <w:szCs w:val="20"/>
        </w:rPr>
        <w:t>Fecha de Resolución:</w:t>
      </w:r>
      <w:r>
        <w:rPr>
          <w:rFonts w:ascii="Verdana" w:hAnsi="Verdana" w:cs="Verdana"/>
          <w:color w:val="000000"/>
          <w:kern w:val="0"/>
          <w:sz w:val="20"/>
          <w:szCs w:val="20"/>
        </w:rPr>
        <w:t xml:space="preserve"> 15/05/2026</w:t>
      </w:r>
    </w:p>
    <w:p w14:paraId="6F6BCD29" w14:textId="77777777" w:rsidR="00000000" w:rsidRDefault="00000000">
      <w:pPr>
        <w:widowControl w:val="0"/>
        <w:autoSpaceDE w:val="0"/>
        <w:autoSpaceDN w:val="0"/>
        <w:adjustRightInd w:val="0"/>
        <w:spacing w:after="0" w:line="240" w:lineRule="auto"/>
        <w:rPr>
          <w:rFonts w:ascii="Verdana" w:hAnsi="Verdana" w:cs="Verdana"/>
          <w:color w:val="000000"/>
          <w:kern w:val="0"/>
          <w:sz w:val="20"/>
          <w:szCs w:val="20"/>
        </w:rPr>
      </w:pPr>
      <w:r>
        <w:rPr>
          <w:rFonts w:ascii="Verdana" w:hAnsi="Verdana" w:cs="Verdana"/>
          <w:b/>
          <w:bCs/>
          <w:color w:val="0000FF"/>
          <w:kern w:val="0"/>
          <w:sz w:val="20"/>
          <w:szCs w:val="20"/>
        </w:rPr>
        <w:t>Procedimiento:</w:t>
      </w:r>
      <w:r>
        <w:rPr>
          <w:rFonts w:ascii="Verdana" w:hAnsi="Verdana" w:cs="Verdana"/>
          <w:color w:val="000000"/>
          <w:kern w:val="0"/>
          <w:sz w:val="20"/>
          <w:szCs w:val="20"/>
        </w:rPr>
        <w:t xml:space="preserve"> Recurso de apelación</w:t>
      </w:r>
    </w:p>
    <w:p w14:paraId="15AA9290" w14:textId="77777777" w:rsidR="00000000" w:rsidRDefault="00000000">
      <w:pPr>
        <w:widowControl w:val="0"/>
        <w:autoSpaceDE w:val="0"/>
        <w:autoSpaceDN w:val="0"/>
        <w:adjustRightInd w:val="0"/>
        <w:spacing w:after="0" w:line="240" w:lineRule="auto"/>
        <w:rPr>
          <w:rFonts w:ascii="Verdana" w:hAnsi="Verdana" w:cs="Verdana"/>
          <w:color w:val="000000"/>
          <w:kern w:val="0"/>
          <w:sz w:val="20"/>
          <w:szCs w:val="20"/>
        </w:rPr>
      </w:pPr>
      <w:r>
        <w:rPr>
          <w:rFonts w:ascii="Verdana" w:hAnsi="Verdana" w:cs="Verdana"/>
          <w:b/>
          <w:bCs/>
          <w:color w:val="0000FF"/>
          <w:kern w:val="0"/>
          <w:sz w:val="20"/>
          <w:szCs w:val="20"/>
        </w:rPr>
        <w:t>Ponente:</w:t>
      </w:r>
      <w:r>
        <w:rPr>
          <w:rFonts w:ascii="Verdana" w:hAnsi="Verdana" w:cs="Verdana"/>
          <w:color w:val="000000"/>
          <w:kern w:val="0"/>
          <w:sz w:val="20"/>
          <w:szCs w:val="20"/>
        </w:rPr>
        <w:t xml:space="preserve"> FELIPE LUIS MORENO GOMEZ</w:t>
      </w:r>
    </w:p>
    <w:p w14:paraId="4BC54ABF" w14:textId="77777777" w:rsidR="00000000" w:rsidRDefault="00000000">
      <w:pPr>
        <w:widowControl w:val="0"/>
        <w:autoSpaceDE w:val="0"/>
        <w:autoSpaceDN w:val="0"/>
        <w:adjustRightInd w:val="0"/>
        <w:spacing w:after="0" w:line="240" w:lineRule="auto"/>
        <w:rPr>
          <w:rFonts w:ascii="Verdana" w:hAnsi="Verdana" w:cs="Verdana"/>
          <w:color w:val="000000"/>
          <w:kern w:val="0"/>
          <w:sz w:val="20"/>
          <w:szCs w:val="20"/>
        </w:rPr>
      </w:pPr>
      <w:r>
        <w:rPr>
          <w:rFonts w:ascii="Verdana" w:hAnsi="Verdana" w:cs="Verdana"/>
          <w:b/>
          <w:bCs/>
          <w:color w:val="0000FF"/>
          <w:kern w:val="0"/>
          <w:sz w:val="20"/>
          <w:szCs w:val="20"/>
        </w:rPr>
        <w:t>Tipo de Resolución:</w:t>
      </w:r>
      <w:r>
        <w:rPr>
          <w:rFonts w:ascii="Verdana" w:hAnsi="Verdana" w:cs="Verdana"/>
          <w:color w:val="000000"/>
          <w:kern w:val="0"/>
          <w:sz w:val="20"/>
          <w:szCs w:val="20"/>
        </w:rPr>
        <w:t xml:space="preserve"> Sentencia</w:t>
      </w:r>
    </w:p>
    <w:p w14:paraId="6AD15036" w14:textId="77777777" w:rsidR="00000000" w:rsidRDefault="00000000">
      <w:pPr>
        <w:widowControl w:val="0"/>
        <w:autoSpaceDE w:val="0"/>
        <w:autoSpaceDN w:val="0"/>
        <w:adjustRightInd w:val="0"/>
        <w:spacing w:after="0" w:line="240" w:lineRule="auto"/>
        <w:rPr>
          <w:rFonts w:ascii="Verdana" w:hAnsi="Verdana" w:cs="Verdana"/>
          <w:color w:val="000000"/>
          <w:kern w:val="0"/>
          <w:sz w:val="20"/>
          <w:szCs w:val="20"/>
        </w:rPr>
      </w:pPr>
    </w:p>
    <w:p w14:paraId="7AFF04C0" w14:textId="77777777" w:rsidR="00000000" w:rsidRDefault="00000000">
      <w:pPr>
        <w:widowControl w:val="0"/>
        <w:autoSpaceDE w:val="0"/>
        <w:autoSpaceDN w:val="0"/>
        <w:adjustRightInd w:val="0"/>
        <w:spacing w:after="0" w:line="240" w:lineRule="auto"/>
        <w:rPr>
          <w:rFonts w:ascii="Verdana" w:hAnsi="Verdana" w:cs="Verdana"/>
          <w:color w:val="000000"/>
          <w:kern w:val="0"/>
          <w:sz w:val="20"/>
          <w:szCs w:val="20"/>
        </w:rPr>
      </w:pPr>
      <w:r>
        <w:rPr>
          <w:rFonts w:ascii="Verdana" w:hAnsi="Verdana" w:cs="Verdana"/>
          <w:color w:val="000000"/>
          <w:kern w:val="0"/>
          <w:sz w:val="20"/>
          <w:szCs w:val="20"/>
          <w:u w:val="single"/>
        </w:rPr>
        <w:tab/>
      </w:r>
      <w:r>
        <w:rPr>
          <w:rFonts w:ascii="Verdana" w:hAnsi="Verdana" w:cs="Verdana"/>
          <w:color w:val="000000"/>
          <w:kern w:val="0"/>
          <w:sz w:val="20"/>
          <w:szCs w:val="20"/>
          <w:u w:val="single"/>
        </w:rPr>
        <w:tab/>
      </w:r>
      <w:r>
        <w:rPr>
          <w:rFonts w:ascii="Verdana" w:hAnsi="Verdana" w:cs="Verdana"/>
          <w:color w:val="000000"/>
          <w:kern w:val="0"/>
          <w:sz w:val="20"/>
          <w:szCs w:val="20"/>
          <w:u w:val="single"/>
        </w:rPr>
        <w:tab/>
      </w:r>
      <w:r>
        <w:rPr>
          <w:rFonts w:ascii="Verdana" w:hAnsi="Verdana" w:cs="Verdana"/>
          <w:color w:val="000000"/>
          <w:kern w:val="0"/>
          <w:sz w:val="20"/>
          <w:szCs w:val="20"/>
          <w:u w:val="single"/>
        </w:rPr>
        <w:tab/>
      </w:r>
      <w:r>
        <w:rPr>
          <w:rFonts w:ascii="Verdana" w:hAnsi="Verdana" w:cs="Verdana"/>
          <w:color w:val="000000"/>
          <w:kern w:val="0"/>
          <w:sz w:val="20"/>
          <w:szCs w:val="20"/>
          <w:u w:val="single"/>
        </w:rPr>
        <w:tab/>
      </w:r>
      <w:r>
        <w:rPr>
          <w:rFonts w:ascii="Verdana" w:hAnsi="Verdana" w:cs="Verdana"/>
          <w:color w:val="000000"/>
          <w:kern w:val="0"/>
          <w:sz w:val="20"/>
          <w:szCs w:val="20"/>
          <w:u w:val="single"/>
        </w:rPr>
        <w:tab/>
      </w:r>
      <w:r>
        <w:rPr>
          <w:rFonts w:ascii="Verdana" w:hAnsi="Verdana" w:cs="Verdana"/>
          <w:color w:val="000000"/>
          <w:kern w:val="0"/>
          <w:sz w:val="20"/>
          <w:szCs w:val="20"/>
          <w:u w:val="single"/>
        </w:rPr>
        <w:tab/>
      </w:r>
      <w:r>
        <w:rPr>
          <w:rFonts w:ascii="Verdana" w:hAnsi="Verdana" w:cs="Verdana"/>
          <w:color w:val="000000"/>
          <w:kern w:val="0"/>
          <w:sz w:val="20"/>
          <w:szCs w:val="20"/>
          <w:u w:val="single"/>
        </w:rPr>
        <w:tab/>
      </w:r>
      <w:r>
        <w:rPr>
          <w:rFonts w:ascii="Verdana" w:hAnsi="Verdana" w:cs="Verdana"/>
          <w:color w:val="000000"/>
          <w:kern w:val="0"/>
          <w:sz w:val="20"/>
          <w:szCs w:val="20"/>
          <w:u w:val="single"/>
        </w:rPr>
        <w:tab/>
      </w:r>
    </w:p>
    <w:p w14:paraId="24663190" w14:textId="77777777" w:rsidR="00000000" w:rsidRDefault="00000000">
      <w:pPr>
        <w:widowControl w:val="0"/>
        <w:autoSpaceDE w:val="0"/>
        <w:autoSpaceDN w:val="0"/>
        <w:adjustRightInd w:val="0"/>
        <w:spacing w:after="0" w:line="240" w:lineRule="auto"/>
        <w:rPr>
          <w:rFonts w:ascii="Verdana" w:hAnsi="Verdana" w:cs="Verdana"/>
          <w:color w:val="000000"/>
          <w:kern w:val="0"/>
          <w:sz w:val="20"/>
          <w:szCs w:val="20"/>
        </w:rPr>
      </w:pPr>
      <w:r>
        <w:rPr>
          <w:rFonts w:ascii="Verdana" w:hAnsi="Verdana" w:cs="Verdana"/>
          <w:color w:val="000000"/>
          <w:kern w:val="0"/>
          <w:sz w:val="20"/>
          <w:szCs w:val="20"/>
        </w:rPr>
        <w:tab/>
      </w:r>
    </w:p>
    <w:p w14:paraId="7F8825DE" w14:textId="77777777" w:rsidR="00000000" w:rsidRDefault="00000000">
      <w:pPr>
        <w:widowControl w:val="0"/>
        <w:autoSpaceDE w:val="0"/>
        <w:autoSpaceDN w:val="0"/>
        <w:adjustRightInd w:val="0"/>
        <w:spacing w:after="0" w:line="240" w:lineRule="auto"/>
        <w:rPr>
          <w:rFonts w:ascii="Verdana" w:hAnsi="Verdana" w:cs="Verdana"/>
          <w:color w:val="000000"/>
          <w:kern w:val="0"/>
          <w:sz w:val="20"/>
          <w:szCs w:val="20"/>
        </w:rPr>
      </w:pPr>
    </w:p>
    <w:p w14:paraId="2521BD92" w14:textId="77777777" w:rsidR="00000000" w:rsidRDefault="00000000">
      <w:pPr>
        <w:widowControl w:val="0"/>
        <w:autoSpaceDE w:val="0"/>
        <w:autoSpaceDN w:val="0"/>
        <w:adjustRightInd w:val="0"/>
        <w:spacing w:after="0" w:line="240" w:lineRule="auto"/>
        <w:rPr>
          <w:rFonts w:ascii="Verdana" w:hAnsi="Verdana" w:cs="Verdana"/>
          <w:color w:val="000000"/>
          <w:kern w:val="0"/>
          <w:sz w:val="20"/>
          <w:szCs w:val="20"/>
        </w:rPr>
      </w:pPr>
      <w:r>
        <w:rPr>
          <w:rFonts w:ascii="Verdana" w:hAnsi="Verdana" w:cs="Verdana"/>
          <w:b/>
          <w:bCs/>
          <w:color w:val="0000FF"/>
          <w:kern w:val="0"/>
          <w:sz w:val="20"/>
          <w:szCs w:val="20"/>
        </w:rPr>
        <w:t>Encabezamiento</w:t>
      </w:r>
      <w:r>
        <w:rPr>
          <w:rFonts w:ascii="Verdana" w:hAnsi="Verdana" w:cs="Verdana"/>
          <w:color w:val="000000"/>
          <w:kern w:val="0"/>
          <w:sz w:val="20"/>
          <w:szCs w:val="20"/>
        </w:rPr>
        <w:tab/>
      </w:r>
    </w:p>
    <w:p w14:paraId="1A7250B3"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w:t>
      </w:r>
      <w:r>
        <w:rPr>
          <w:rFonts w:ascii="Verdana" w:hAnsi="Verdana" w:cs="Verdana"/>
          <w:b/>
          <w:bCs/>
          <w:color w:val="000000"/>
          <w:kern w:val="0"/>
          <w:sz w:val="20"/>
          <w:szCs w:val="20"/>
        </w:rPr>
        <w:t xml:space="preserve"> AUDIENCIA PROVINCIAL DE CÓRDOBA </w:t>
      </w:r>
      <w:r>
        <w:rPr>
          <w:rFonts w:ascii="Verdana" w:hAnsi="Verdana" w:cs="Verdana"/>
          <w:color w:val="000000"/>
          <w:kern w:val="0"/>
          <w:sz w:val="20"/>
          <w:szCs w:val="20"/>
        </w:rPr>
        <w:t xml:space="preserve"> </w:t>
      </w:r>
    </w:p>
    <w:p w14:paraId="2E8EA185"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30D73187"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w:t>
      </w:r>
      <w:r>
        <w:rPr>
          <w:rFonts w:ascii="Verdana" w:hAnsi="Verdana" w:cs="Verdana"/>
          <w:b/>
          <w:bCs/>
          <w:color w:val="000000"/>
          <w:kern w:val="0"/>
          <w:sz w:val="20"/>
          <w:szCs w:val="20"/>
        </w:rPr>
        <w:t xml:space="preserve"> SECCIÓN CIVIL </w:t>
      </w:r>
      <w:r>
        <w:rPr>
          <w:rFonts w:ascii="Verdana" w:hAnsi="Verdana" w:cs="Verdana"/>
          <w:color w:val="000000"/>
          <w:kern w:val="0"/>
          <w:sz w:val="20"/>
          <w:szCs w:val="20"/>
        </w:rPr>
        <w:t xml:space="preserve"> </w:t>
      </w:r>
    </w:p>
    <w:p w14:paraId="4A93C316"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21B001EE"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Ciudad de la Justicia- C/ Isla Mallorca s/n (planta tercera)</w:t>
      </w:r>
    </w:p>
    <w:p w14:paraId="7846C041"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4D4A71AD"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Tlf.: 957.745.076 - 600.156.208 - 600.156.218. Fax: 957 00 24 43</w:t>
      </w:r>
    </w:p>
    <w:p w14:paraId="3BF7E1A0"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2F97808E"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N.I.G. 1405342120210000214</w:t>
      </w:r>
    </w:p>
    <w:p w14:paraId="622BA1B9"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3EE823C1"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w:t>
      </w:r>
      <w:r>
        <w:rPr>
          <w:rFonts w:ascii="Verdana" w:hAnsi="Verdana" w:cs="Verdana"/>
          <w:b/>
          <w:bCs/>
          <w:color w:val="000000"/>
          <w:kern w:val="0"/>
          <w:sz w:val="20"/>
          <w:szCs w:val="20"/>
        </w:rPr>
        <w:t xml:space="preserve"> </w:t>
      </w:r>
      <w:proofErr w:type="spellStart"/>
      <w:r>
        <w:rPr>
          <w:rFonts w:ascii="Verdana" w:hAnsi="Verdana" w:cs="Verdana"/>
          <w:b/>
          <w:bCs/>
          <w:color w:val="000000"/>
          <w:kern w:val="0"/>
          <w:sz w:val="20"/>
          <w:szCs w:val="20"/>
        </w:rPr>
        <w:t>Nº</w:t>
      </w:r>
      <w:proofErr w:type="spellEnd"/>
      <w:r>
        <w:rPr>
          <w:rFonts w:ascii="Verdana" w:hAnsi="Verdana" w:cs="Verdana"/>
          <w:b/>
          <w:bCs/>
          <w:color w:val="000000"/>
          <w:kern w:val="0"/>
          <w:sz w:val="20"/>
          <w:szCs w:val="20"/>
        </w:rPr>
        <w:t xml:space="preserve"> Procedimiento: Recurso de </w:t>
      </w:r>
      <w:proofErr w:type="spellStart"/>
      <w:r>
        <w:rPr>
          <w:rFonts w:ascii="Verdana" w:hAnsi="Verdana" w:cs="Verdana"/>
          <w:b/>
          <w:bCs/>
          <w:color w:val="000000"/>
          <w:kern w:val="0"/>
          <w:sz w:val="20"/>
          <w:szCs w:val="20"/>
        </w:rPr>
        <w:t>Apelacion</w:t>
      </w:r>
      <w:proofErr w:type="spellEnd"/>
      <w:r>
        <w:rPr>
          <w:rFonts w:ascii="Verdana" w:hAnsi="Verdana" w:cs="Verdana"/>
          <w:b/>
          <w:bCs/>
          <w:color w:val="000000"/>
          <w:kern w:val="0"/>
          <w:sz w:val="20"/>
          <w:szCs w:val="20"/>
        </w:rPr>
        <w:t xml:space="preserve"> Civil 1296/2025-AJ </w:t>
      </w:r>
      <w:r>
        <w:rPr>
          <w:rFonts w:ascii="Verdana" w:hAnsi="Verdana" w:cs="Verdana"/>
          <w:color w:val="000000"/>
          <w:kern w:val="0"/>
          <w:sz w:val="20"/>
          <w:szCs w:val="20"/>
        </w:rPr>
        <w:t xml:space="preserve"> </w:t>
      </w:r>
    </w:p>
    <w:p w14:paraId="6AB06C04"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0D2CCB8B"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Autos de: Familia. Divorcio Contencioso 76/2021</w:t>
      </w:r>
    </w:p>
    <w:p w14:paraId="0A89512A"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50FB7E8A"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Órgano de origen: SECCIÓN CIVIL Y DE INSTRUCCIÓN DEL TRIUBNAL DE INSTANCIA DE POSADAS. PLAZA Nº1</w:t>
      </w:r>
    </w:p>
    <w:p w14:paraId="5B325C82"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3613C20A"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w:t>
      </w:r>
      <w:r>
        <w:rPr>
          <w:rFonts w:ascii="Verdana" w:hAnsi="Verdana" w:cs="Verdana"/>
          <w:b/>
          <w:bCs/>
          <w:color w:val="000000"/>
          <w:kern w:val="0"/>
          <w:sz w:val="20"/>
          <w:szCs w:val="20"/>
        </w:rPr>
        <w:t xml:space="preserve">  </w:t>
      </w:r>
      <w:r>
        <w:rPr>
          <w:rFonts w:ascii="Verdana" w:hAnsi="Verdana" w:cs="Verdana"/>
          <w:b/>
          <w:bCs/>
          <w:color w:val="000000"/>
          <w:kern w:val="0"/>
          <w:sz w:val="20"/>
          <w:szCs w:val="20"/>
          <w:u w:val="single"/>
        </w:rPr>
        <w:t xml:space="preserve"> SENTENCIA Nº560/2026 </w:t>
      </w:r>
      <w:r>
        <w:rPr>
          <w:rFonts w:ascii="Verdana" w:hAnsi="Verdana" w:cs="Verdana"/>
          <w:b/>
          <w:bCs/>
          <w:color w:val="000000"/>
          <w:kern w:val="0"/>
          <w:sz w:val="20"/>
          <w:szCs w:val="20"/>
        </w:rPr>
        <w:t xml:space="preserve">  </w:t>
      </w:r>
      <w:r>
        <w:rPr>
          <w:rFonts w:ascii="Verdana" w:hAnsi="Verdana" w:cs="Verdana"/>
          <w:color w:val="000000"/>
          <w:kern w:val="0"/>
          <w:sz w:val="20"/>
          <w:szCs w:val="20"/>
        </w:rPr>
        <w:t xml:space="preserve"> </w:t>
      </w:r>
    </w:p>
    <w:p w14:paraId="2F07D92B"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5B2310CC"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w:t>
      </w:r>
      <w:r>
        <w:rPr>
          <w:rFonts w:ascii="Verdana" w:hAnsi="Verdana" w:cs="Verdana"/>
          <w:b/>
          <w:bCs/>
          <w:color w:val="000000"/>
          <w:kern w:val="0"/>
          <w:sz w:val="20"/>
          <w:szCs w:val="20"/>
        </w:rPr>
        <w:t xml:space="preserve"> </w:t>
      </w:r>
      <w:proofErr w:type="spellStart"/>
      <w:r>
        <w:rPr>
          <w:rFonts w:ascii="Verdana" w:hAnsi="Verdana" w:cs="Verdana"/>
          <w:b/>
          <w:bCs/>
          <w:color w:val="000000"/>
          <w:kern w:val="0"/>
          <w:sz w:val="20"/>
          <w:szCs w:val="20"/>
        </w:rPr>
        <w:t>Iltmos</w:t>
      </w:r>
      <w:proofErr w:type="spellEnd"/>
      <w:r>
        <w:rPr>
          <w:rFonts w:ascii="Verdana" w:hAnsi="Verdana" w:cs="Verdana"/>
          <w:b/>
          <w:bCs/>
          <w:color w:val="000000"/>
          <w:kern w:val="0"/>
          <w:sz w:val="20"/>
          <w:szCs w:val="20"/>
        </w:rPr>
        <w:t xml:space="preserve">. Sres.: </w:t>
      </w:r>
      <w:r>
        <w:rPr>
          <w:rFonts w:ascii="Verdana" w:hAnsi="Verdana" w:cs="Verdana"/>
          <w:color w:val="000000"/>
          <w:kern w:val="0"/>
          <w:sz w:val="20"/>
          <w:szCs w:val="20"/>
        </w:rPr>
        <w:t xml:space="preserve"> </w:t>
      </w:r>
    </w:p>
    <w:p w14:paraId="6B485B91"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51EDB45F"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w:t>
      </w:r>
      <w:r>
        <w:rPr>
          <w:rFonts w:ascii="Verdana" w:hAnsi="Verdana" w:cs="Verdana"/>
          <w:b/>
          <w:bCs/>
          <w:color w:val="000000"/>
          <w:kern w:val="0"/>
          <w:sz w:val="20"/>
          <w:szCs w:val="20"/>
        </w:rPr>
        <w:t xml:space="preserve"> Presidente: </w:t>
      </w:r>
      <w:r>
        <w:rPr>
          <w:rFonts w:ascii="Verdana" w:hAnsi="Verdana" w:cs="Verdana"/>
          <w:color w:val="000000"/>
          <w:kern w:val="0"/>
          <w:sz w:val="20"/>
          <w:szCs w:val="20"/>
        </w:rPr>
        <w:t xml:space="preserve"> </w:t>
      </w:r>
    </w:p>
    <w:p w14:paraId="272D9387"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1A8174EB"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w:t>
      </w:r>
      <w:r>
        <w:rPr>
          <w:rFonts w:ascii="Verdana" w:hAnsi="Verdana" w:cs="Verdana"/>
          <w:b/>
          <w:bCs/>
          <w:color w:val="000000"/>
          <w:kern w:val="0"/>
          <w:sz w:val="20"/>
          <w:szCs w:val="20"/>
        </w:rPr>
        <w:t xml:space="preserve"> D. Felipe Luis Moreno Gómez </w:t>
      </w:r>
      <w:r>
        <w:rPr>
          <w:rFonts w:ascii="Verdana" w:hAnsi="Verdana" w:cs="Verdana"/>
          <w:color w:val="000000"/>
          <w:kern w:val="0"/>
          <w:sz w:val="20"/>
          <w:szCs w:val="20"/>
        </w:rPr>
        <w:t xml:space="preserve"> </w:t>
      </w:r>
    </w:p>
    <w:p w14:paraId="736F0ACC"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05FE337E"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w:t>
      </w:r>
      <w:r>
        <w:rPr>
          <w:rFonts w:ascii="Verdana" w:hAnsi="Verdana" w:cs="Verdana"/>
          <w:b/>
          <w:bCs/>
          <w:color w:val="000000"/>
          <w:kern w:val="0"/>
          <w:sz w:val="20"/>
          <w:szCs w:val="20"/>
        </w:rPr>
        <w:t xml:space="preserve"> Magistrados: </w:t>
      </w:r>
      <w:r>
        <w:rPr>
          <w:rFonts w:ascii="Verdana" w:hAnsi="Verdana" w:cs="Verdana"/>
          <w:color w:val="000000"/>
          <w:kern w:val="0"/>
          <w:sz w:val="20"/>
          <w:szCs w:val="20"/>
        </w:rPr>
        <w:t xml:space="preserve"> </w:t>
      </w:r>
    </w:p>
    <w:p w14:paraId="040A1429"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11B422E4"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w:t>
      </w:r>
      <w:r>
        <w:rPr>
          <w:rFonts w:ascii="Verdana" w:hAnsi="Verdana" w:cs="Verdana"/>
          <w:b/>
          <w:bCs/>
          <w:color w:val="000000"/>
          <w:kern w:val="0"/>
          <w:sz w:val="20"/>
          <w:szCs w:val="20"/>
        </w:rPr>
        <w:t xml:space="preserve"> D. Francisco José Gordillo Peláez </w:t>
      </w:r>
      <w:r>
        <w:rPr>
          <w:rFonts w:ascii="Verdana" w:hAnsi="Verdana" w:cs="Verdana"/>
          <w:color w:val="000000"/>
          <w:kern w:val="0"/>
          <w:sz w:val="20"/>
          <w:szCs w:val="20"/>
        </w:rPr>
        <w:t xml:space="preserve"> </w:t>
      </w:r>
    </w:p>
    <w:p w14:paraId="46AB4EEF"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34FFF2F4"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w:t>
      </w:r>
      <w:r>
        <w:rPr>
          <w:rFonts w:ascii="Verdana" w:hAnsi="Verdana" w:cs="Verdana"/>
          <w:b/>
          <w:bCs/>
          <w:color w:val="000000"/>
          <w:kern w:val="0"/>
          <w:sz w:val="20"/>
          <w:szCs w:val="20"/>
        </w:rPr>
        <w:t xml:space="preserve"> Don Fernando Caballero García </w:t>
      </w:r>
      <w:r>
        <w:rPr>
          <w:rFonts w:ascii="Verdana" w:hAnsi="Verdana" w:cs="Verdana"/>
          <w:color w:val="000000"/>
          <w:kern w:val="0"/>
          <w:sz w:val="20"/>
          <w:szCs w:val="20"/>
        </w:rPr>
        <w:t xml:space="preserve"> </w:t>
      </w:r>
    </w:p>
    <w:p w14:paraId="5A184318"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6FD2E25B"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En Córdoba, a quince de mayo de dos mil veintiséis.</w:t>
      </w:r>
    </w:p>
    <w:p w14:paraId="0842B9D1"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02DF4B0A"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La Sección Primera de esta Audiencia ha visto y examinado el recurso de apelación interpuesto contra la sentencia dictada en los autos referenciados, siendo parte demandante Doña Amalia, representada por el Procurador Sr. Orti Baquerizo y asistida del Letrado Sr. Vázquez Sánchez, contra Don Luis </w:t>
      </w:r>
      <w:proofErr w:type="spellStart"/>
      <w:r>
        <w:rPr>
          <w:rFonts w:ascii="Verdana" w:hAnsi="Verdana" w:cs="Verdana"/>
          <w:color w:val="000000"/>
          <w:kern w:val="0"/>
          <w:sz w:val="20"/>
          <w:szCs w:val="20"/>
        </w:rPr>
        <w:t>Angel</w:t>
      </w:r>
      <w:proofErr w:type="spellEnd"/>
      <w:r>
        <w:rPr>
          <w:rFonts w:ascii="Verdana" w:hAnsi="Verdana" w:cs="Verdana"/>
          <w:color w:val="000000"/>
          <w:kern w:val="0"/>
          <w:sz w:val="20"/>
          <w:szCs w:val="20"/>
        </w:rPr>
        <w:t xml:space="preserve">, representado por la </w:t>
      </w:r>
      <w:r>
        <w:rPr>
          <w:rFonts w:ascii="Verdana" w:hAnsi="Verdana" w:cs="Verdana"/>
          <w:color w:val="000000"/>
          <w:kern w:val="0"/>
          <w:sz w:val="20"/>
          <w:szCs w:val="20"/>
        </w:rPr>
        <w:lastRenderedPageBreak/>
        <w:t xml:space="preserve">Procuradora Sra. Gutiérrez-Ravé Torrent y asistido de la Letrada Sra Martín Carrasco; siendo parte en las actuaciones el Ministerio Fiscal, habiendo sido apelante la citada demandante y designado ponente el </w:t>
      </w:r>
      <w:proofErr w:type="spellStart"/>
      <w:r>
        <w:rPr>
          <w:rFonts w:ascii="Verdana" w:hAnsi="Verdana" w:cs="Verdana"/>
          <w:color w:val="000000"/>
          <w:kern w:val="0"/>
          <w:sz w:val="20"/>
          <w:szCs w:val="20"/>
        </w:rPr>
        <w:t>Iltmo</w:t>
      </w:r>
      <w:proofErr w:type="spellEnd"/>
      <w:r>
        <w:rPr>
          <w:rFonts w:ascii="Verdana" w:hAnsi="Verdana" w:cs="Verdana"/>
          <w:color w:val="000000"/>
          <w:kern w:val="0"/>
          <w:sz w:val="20"/>
          <w:szCs w:val="20"/>
        </w:rPr>
        <w:t>. Sr. Magistrado Don Felipe Luis Moreno Gómez.</w:t>
      </w:r>
    </w:p>
    <w:p w14:paraId="4B4E7661"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1C20467A"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p>
    <w:p w14:paraId="1D3C7BA2"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b/>
          <w:bCs/>
          <w:color w:val="0000FF"/>
          <w:kern w:val="0"/>
          <w:sz w:val="20"/>
          <w:szCs w:val="20"/>
        </w:rPr>
        <w:t>ANTECEDENTES DE HECHO</w:t>
      </w:r>
    </w:p>
    <w:p w14:paraId="345FAA01"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Se aceptan los antecedentes de hecho de la resolución recurrida, y</w:t>
      </w:r>
      <w:r>
        <w:rPr>
          <w:rFonts w:ascii="Verdana" w:hAnsi="Verdana" w:cs="Verdana"/>
          <w:color w:val="000000"/>
          <w:kern w:val="0"/>
          <w:sz w:val="20"/>
          <w:szCs w:val="20"/>
        </w:rPr>
        <w:tab/>
      </w:r>
    </w:p>
    <w:p w14:paraId="5509AC06"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6F193CD7"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w:t>
      </w:r>
      <w:r>
        <w:rPr>
          <w:rFonts w:ascii="Verdana" w:hAnsi="Verdana" w:cs="Verdana"/>
          <w:b/>
          <w:bCs/>
          <w:color w:val="000000"/>
          <w:kern w:val="0"/>
          <w:sz w:val="20"/>
          <w:szCs w:val="20"/>
        </w:rPr>
        <w:t xml:space="preserve">  </w:t>
      </w:r>
      <w:r>
        <w:rPr>
          <w:rFonts w:ascii="Verdana" w:hAnsi="Verdana" w:cs="Verdana"/>
          <w:b/>
          <w:bCs/>
          <w:color w:val="000000"/>
          <w:kern w:val="0"/>
          <w:sz w:val="20"/>
          <w:szCs w:val="20"/>
          <w:u w:val="single"/>
        </w:rPr>
        <w:t xml:space="preserve"> PRIMERO.- </w:t>
      </w:r>
      <w:r>
        <w:rPr>
          <w:rFonts w:ascii="Verdana" w:hAnsi="Verdana" w:cs="Verdana"/>
          <w:b/>
          <w:bCs/>
          <w:color w:val="000000"/>
          <w:kern w:val="0"/>
          <w:sz w:val="20"/>
          <w:szCs w:val="20"/>
        </w:rPr>
        <w:t xml:space="preserve">  </w:t>
      </w:r>
      <w:r>
        <w:rPr>
          <w:rFonts w:ascii="Verdana" w:hAnsi="Verdana" w:cs="Verdana"/>
          <w:color w:val="000000"/>
          <w:kern w:val="0"/>
          <w:sz w:val="20"/>
          <w:szCs w:val="20"/>
        </w:rPr>
        <w:t xml:space="preserve"> Seguido el juicio por su trámite, se </w:t>
      </w:r>
      <w:proofErr w:type="gramStart"/>
      <w:r>
        <w:rPr>
          <w:rFonts w:ascii="Verdana" w:hAnsi="Verdana" w:cs="Verdana"/>
          <w:color w:val="000000"/>
          <w:kern w:val="0"/>
          <w:sz w:val="20"/>
          <w:szCs w:val="20"/>
        </w:rPr>
        <w:t xml:space="preserve">dictó </w:t>
      </w:r>
      <w:r>
        <w:rPr>
          <w:rFonts w:ascii="Verdana" w:hAnsi="Verdana" w:cs="Verdana"/>
          <w:i/>
          <w:iCs/>
          <w:color w:val="000000"/>
          <w:kern w:val="0"/>
          <w:sz w:val="20"/>
          <w:szCs w:val="20"/>
        </w:rPr>
        <w:t xml:space="preserve"> sentencia</w:t>
      </w:r>
      <w:proofErr w:type="gramEnd"/>
      <w:r>
        <w:rPr>
          <w:rFonts w:ascii="Verdana" w:hAnsi="Verdana" w:cs="Verdana"/>
          <w:i/>
          <w:iCs/>
          <w:color w:val="000000"/>
          <w:kern w:val="0"/>
          <w:sz w:val="20"/>
          <w:szCs w:val="20"/>
        </w:rPr>
        <w:t xml:space="preserve"> con fecha 5 de diciembre de 2024, por la Sección Civil y de Instrucción del Tribunal de Instancia de Posadas. Plaza nº1 </w:t>
      </w:r>
      <w:r>
        <w:rPr>
          <w:rFonts w:ascii="Verdana" w:hAnsi="Verdana" w:cs="Verdana"/>
          <w:color w:val="000000"/>
          <w:kern w:val="0"/>
          <w:sz w:val="20"/>
          <w:szCs w:val="20"/>
        </w:rPr>
        <w:t>, cuyo fallo es como sigue:</w:t>
      </w:r>
      <w:r>
        <w:rPr>
          <w:rFonts w:ascii="Verdana" w:hAnsi="Verdana" w:cs="Verdana"/>
          <w:color w:val="000000"/>
          <w:kern w:val="0"/>
          <w:sz w:val="20"/>
          <w:szCs w:val="20"/>
        </w:rPr>
        <w:tab/>
      </w:r>
    </w:p>
    <w:p w14:paraId="363FFC11"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4FB5EAAC"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w:t>
      </w:r>
      <w:r>
        <w:rPr>
          <w:rFonts w:ascii="Verdana" w:hAnsi="Verdana" w:cs="Verdana"/>
          <w:i/>
          <w:iCs/>
          <w:color w:val="000000"/>
          <w:kern w:val="0"/>
          <w:sz w:val="20"/>
          <w:szCs w:val="20"/>
        </w:rPr>
        <w:t xml:space="preserve">  </w:t>
      </w:r>
      <w:r>
        <w:rPr>
          <w:rFonts w:ascii="Verdana" w:hAnsi="Verdana" w:cs="Verdana"/>
          <w:b/>
          <w:bCs/>
          <w:i/>
          <w:iCs/>
          <w:color w:val="000000"/>
          <w:kern w:val="0"/>
          <w:sz w:val="20"/>
          <w:szCs w:val="20"/>
        </w:rPr>
        <w:t xml:space="preserve"> "ESTIMO PARCIALMENTE LA DEMANDA interpuesta por la representación procesal de D.ª Amalia frente a D. Luis </w:t>
      </w:r>
      <w:proofErr w:type="spellStart"/>
      <w:r>
        <w:rPr>
          <w:rFonts w:ascii="Verdana" w:hAnsi="Verdana" w:cs="Verdana"/>
          <w:b/>
          <w:bCs/>
          <w:i/>
          <w:iCs/>
          <w:color w:val="000000"/>
          <w:kern w:val="0"/>
          <w:sz w:val="20"/>
          <w:szCs w:val="20"/>
        </w:rPr>
        <w:t>Angel</w:t>
      </w:r>
      <w:proofErr w:type="spellEnd"/>
      <w:r>
        <w:rPr>
          <w:rFonts w:ascii="Verdana" w:hAnsi="Verdana" w:cs="Verdana"/>
          <w:b/>
          <w:bCs/>
          <w:i/>
          <w:iCs/>
          <w:color w:val="000000"/>
          <w:kern w:val="0"/>
          <w:sz w:val="20"/>
          <w:szCs w:val="20"/>
        </w:rPr>
        <w:t xml:space="preserve"> y, en consecuencia: </w:t>
      </w:r>
      <w:r>
        <w:rPr>
          <w:rFonts w:ascii="Verdana" w:hAnsi="Verdana" w:cs="Verdana"/>
          <w:i/>
          <w:iCs/>
          <w:color w:val="000000"/>
          <w:kern w:val="0"/>
          <w:sz w:val="20"/>
          <w:szCs w:val="20"/>
        </w:rPr>
        <w:t xml:space="preserve">  </w:t>
      </w:r>
      <w:r>
        <w:rPr>
          <w:rFonts w:ascii="Verdana" w:hAnsi="Verdana" w:cs="Verdana"/>
          <w:color w:val="000000"/>
          <w:kern w:val="0"/>
          <w:sz w:val="20"/>
          <w:szCs w:val="20"/>
        </w:rPr>
        <w:t xml:space="preserve"> </w:t>
      </w:r>
      <w:r>
        <w:rPr>
          <w:rFonts w:ascii="Verdana" w:hAnsi="Verdana" w:cs="Verdana"/>
          <w:color w:val="000000"/>
          <w:kern w:val="0"/>
          <w:sz w:val="20"/>
          <w:szCs w:val="20"/>
        </w:rPr>
        <w:tab/>
      </w:r>
    </w:p>
    <w:p w14:paraId="10F8A1CD"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2D63FCBB"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Declaro la disolución, por divorcio, del matrimonio contraído por D.ª Amalia y D. Luis </w:t>
      </w:r>
      <w:proofErr w:type="spellStart"/>
      <w:r>
        <w:rPr>
          <w:rFonts w:ascii="Verdana" w:hAnsi="Verdana" w:cs="Verdana"/>
          <w:color w:val="000000"/>
          <w:kern w:val="0"/>
          <w:sz w:val="20"/>
          <w:szCs w:val="20"/>
        </w:rPr>
        <w:t>Angel</w:t>
      </w:r>
      <w:proofErr w:type="spellEnd"/>
      <w:r>
        <w:rPr>
          <w:rFonts w:ascii="Verdana" w:hAnsi="Verdana" w:cs="Verdana"/>
          <w:color w:val="000000"/>
          <w:kern w:val="0"/>
          <w:sz w:val="20"/>
          <w:szCs w:val="20"/>
        </w:rPr>
        <w:t>, con todos los efectos legales, que se producirán desde la firmeza de esta sentencia, pero sin perjudicar a terceros de buena fe sino a partir de su inscripción en el Registro Civil. Y, en especial, acuerdo las siguientes medidas:</w:t>
      </w:r>
      <w:r>
        <w:rPr>
          <w:rFonts w:ascii="Verdana" w:hAnsi="Verdana" w:cs="Verdana"/>
          <w:color w:val="000000"/>
          <w:kern w:val="0"/>
          <w:sz w:val="20"/>
          <w:szCs w:val="20"/>
        </w:rPr>
        <w:tab/>
      </w:r>
    </w:p>
    <w:p w14:paraId="6FE361CE"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012C0DCE"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1.- La disolución del régimen económico matrimonial y revocación de consentimientos y poderes. Quedan revocados, con carácter definitivo, los consentimientos y poderes que cualquiera de los esposos hubiera otorgado al otro, cesando la posibilidad, salvo pacto en contrario, de vincular los bienes privativos del otro cónyuge en el ejercicio de la potestad doméstica.</w:t>
      </w:r>
      <w:r>
        <w:rPr>
          <w:rFonts w:ascii="Verdana" w:hAnsi="Verdana" w:cs="Verdana"/>
          <w:color w:val="000000"/>
          <w:kern w:val="0"/>
          <w:sz w:val="20"/>
          <w:szCs w:val="20"/>
        </w:rPr>
        <w:tab/>
      </w:r>
    </w:p>
    <w:p w14:paraId="121A55F4"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17603B60"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2.- Ejercicio de la patria potestad. La patria potestad continuará ejerciéndose de modo conjunto por ambos padres.</w:t>
      </w:r>
      <w:r>
        <w:rPr>
          <w:rFonts w:ascii="Verdana" w:hAnsi="Verdana" w:cs="Verdana"/>
          <w:color w:val="000000"/>
          <w:kern w:val="0"/>
          <w:sz w:val="20"/>
          <w:szCs w:val="20"/>
        </w:rPr>
        <w:tab/>
      </w:r>
    </w:p>
    <w:p w14:paraId="61D286A9"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6484ED1A"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3.- Régimen de custodia, estancias, comunicaciones y visitas. Se acuerda fijar provisionalmente (por un año natural) un régimen de custodia materna, año durante el cual regirá el régimen de visitas progresivo propuesto por el equipo psicosocial*, con vocación de establecer finalmente un régimen de custodia compartida una vez transcurrido el año natural desde el dictado de la presente resolución. Se aclara que la progresión que se establece es solo a efectos de permitir al menor una adaptación progresiva a la compañía de su padre.</w:t>
      </w:r>
      <w:r>
        <w:rPr>
          <w:rFonts w:ascii="Verdana" w:hAnsi="Verdana" w:cs="Verdana"/>
          <w:color w:val="000000"/>
          <w:kern w:val="0"/>
          <w:sz w:val="20"/>
          <w:szCs w:val="20"/>
        </w:rPr>
        <w:tab/>
      </w:r>
    </w:p>
    <w:p w14:paraId="5A88EF96"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525C31F8"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*El régimen de visitas es el siguiente:</w:t>
      </w:r>
      <w:r>
        <w:rPr>
          <w:rFonts w:ascii="Verdana" w:hAnsi="Verdana" w:cs="Verdana"/>
          <w:color w:val="000000"/>
          <w:kern w:val="0"/>
          <w:sz w:val="20"/>
          <w:szCs w:val="20"/>
        </w:rPr>
        <w:tab/>
      </w:r>
    </w:p>
    <w:p w14:paraId="35F5E730"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35B2EC16"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Fase 1; Durante dos meses martes y jueves desde la salida del menor del centro escolar hasta las 20:00 horas y fines de semana alternos sin pernocta, sábados y domingos en horario de 10:00 de la mañana a 20:00 de la tarde</w:t>
      </w:r>
      <w:r>
        <w:rPr>
          <w:rFonts w:ascii="Verdana" w:hAnsi="Verdana" w:cs="Verdana"/>
          <w:color w:val="000000"/>
          <w:kern w:val="0"/>
          <w:sz w:val="20"/>
          <w:szCs w:val="20"/>
        </w:rPr>
        <w:tab/>
      </w:r>
    </w:p>
    <w:p w14:paraId="2C17E50E"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2BBB147E"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Fase 2; Durante dos meses, martes y jueves desde la salida del centro escolar del menor hasta las 20:00 horas y fines de semana alternos con pernocta desde el sábado a las 10 de la mañana hasta el domingo a las 20:00.</w:t>
      </w:r>
      <w:r>
        <w:rPr>
          <w:rFonts w:ascii="Verdana" w:hAnsi="Verdana" w:cs="Verdana"/>
          <w:color w:val="000000"/>
          <w:kern w:val="0"/>
          <w:sz w:val="20"/>
          <w:szCs w:val="20"/>
        </w:rPr>
        <w:tab/>
      </w:r>
    </w:p>
    <w:p w14:paraId="430DE769"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0773857C"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Fase 3, martes y jueves desde la salida del centro escolar hasta las 20:00 horas y fines de semana alternos con pernocta desde el viernes a la salida del centro escolar hasta el lunes a la entrada del menor al centro escolar</w:t>
      </w:r>
      <w:r>
        <w:rPr>
          <w:rFonts w:ascii="Verdana" w:hAnsi="Verdana" w:cs="Verdana"/>
          <w:color w:val="000000"/>
          <w:kern w:val="0"/>
          <w:sz w:val="20"/>
          <w:szCs w:val="20"/>
        </w:rPr>
        <w:tab/>
      </w:r>
    </w:p>
    <w:p w14:paraId="75D48D75"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7643B02C"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lastRenderedPageBreak/>
        <w:tab/>
        <w:t xml:space="preserve"> A partir de la fase 3 se podrán desarrollar los tiempos vacacionales a medias repartidos en periodos semanales dada la escasa edad del menor.</w:t>
      </w:r>
      <w:r>
        <w:rPr>
          <w:rFonts w:ascii="Verdana" w:hAnsi="Verdana" w:cs="Verdana"/>
          <w:color w:val="000000"/>
          <w:kern w:val="0"/>
          <w:sz w:val="20"/>
          <w:szCs w:val="20"/>
        </w:rPr>
        <w:tab/>
      </w:r>
    </w:p>
    <w:p w14:paraId="1DCA6CC4"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79BB5A84"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Sobre los periodos vacacionales, a falta de acuerdo, se desarrollarán de la siguiente forma:</w:t>
      </w:r>
      <w:r>
        <w:rPr>
          <w:rFonts w:ascii="Verdana" w:hAnsi="Verdana" w:cs="Verdana"/>
          <w:color w:val="000000"/>
          <w:kern w:val="0"/>
          <w:sz w:val="20"/>
          <w:szCs w:val="20"/>
        </w:rPr>
        <w:tab/>
      </w:r>
    </w:p>
    <w:p w14:paraId="238C6674"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5C432437"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1.- Navidad: El menor pasará la mitad de </w:t>
      </w:r>
      <w:proofErr w:type="gramStart"/>
      <w:r>
        <w:rPr>
          <w:rFonts w:ascii="Verdana" w:hAnsi="Verdana" w:cs="Verdana"/>
          <w:color w:val="000000"/>
          <w:kern w:val="0"/>
          <w:sz w:val="20"/>
          <w:szCs w:val="20"/>
        </w:rPr>
        <w:t>la misma</w:t>
      </w:r>
      <w:proofErr w:type="gramEnd"/>
      <w:r>
        <w:rPr>
          <w:rFonts w:ascii="Verdana" w:hAnsi="Verdana" w:cs="Verdana"/>
          <w:color w:val="000000"/>
          <w:kern w:val="0"/>
          <w:sz w:val="20"/>
          <w:szCs w:val="20"/>
        </w:rPr>
        <w:t xml:space="preserve"> con el padre y la mitad con la madre. El primer período comprende desde las 18:00 horas del día 23 de diciembre hasta las 20:00 horas del día 30 del mismo mes. El segundo período comprenderá desde las 20:00 horas del día 30 de diciembre hasta las 18.00 horas del día 6 de enero. Corresponderá la elección del periodo a la madre en los años pares y al padre en los impares.</w:t>
      </w:r>
      <w:r>
        <w:rPr>
          <w:rFonts w:ascii="Verdana" w:hAnsi="Verdana" w:cs="Verdana"/>
          <w:color w:val="000000"/>
          <w:kern w:val="0"/>
          <w:sz w:val="20"/>
          <w:szCs w:val="20"/>
        </w:rPr>
        <w:tab/>
      </w:r>
    </w:p>
    <w:p w14:paraId="16D1350A"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72EC790D"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2.- Vacaciones de Semana Santa: Se dividirán también en dos períodos: desde el primer día de vacaciones escolares según el calendario oficial de la Delegación de Educación a las 18:00 horas hasta el Miércoles Santo; y el segundo, desde el </w:t>
      </w:r>
      <w:proofErr w:type="spellStart"/>
      <w:r>
        <w:rPr>
          <w:rFonts w:ascii="Verdana" w:hAnsi="Verdana" w:cs="Verdana"/>
          <w:color w:val="000000"/>
          <w:kern w:val="0"/>
          <w:sz w:val="20"/>
          <w:szCs w:val="20"/>
        </w:rPr>
        <w:t>Miercoles</w:t>
      </w:r>
      <w:proofErr w:type="spellEnd"/>
      <w:r>
        <w:rPr>
          <w:rFonts w:ascii="Verdana" w:hAnsi="Verdana" w:cs="Verdana"/>
          <w:color w:val="000000"/>
          <w:kern w:val="0"/>
          <w:sz w:val="20"/>
          <w:szCs w:val="20"/>
        </w:rPr>
        <w:t xml:space="preserve"> Santo a las 18:00 horas hasta el último día de vacaciones escolares a las 20:00 horas. Corresponderá la elección del periodo a la madre en los años pares y al padre en los impares.</w:t>
      </w:r>
      <w:r>
        <w:rPr>
          <w:rFonts w:ascii="Verdana" w:hAnsi="Verdana" w:cs="Verdana"/>
          <w:color w:val="000000"/>
          <w:kern w:val="0"/>
          <w:sz w:val="20"/>
          <w:szCs w:val="20"/>
        </w:rPr>
        <w:tab/>
      </w:r>
    </w:p>
    <w:p w14:paraId="74ECDF4E"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3E3FAFA4"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3.- Vacaciones de Verano: Durante el período de vacaciones de verano escolares, correspondiente a los meses de Julio y </w:t>
      </w:r>
      <w:proofErr w:type="gramStart"/>
      <w:r>
        <w:rPr>
          <w:rFonts w:ascii="Verdana" w:hAnsi="Verdana" w:cs="Verdana"/>
          <w:color w:val="000000"/>
          <w:kern w:val="0"/>
          <w:sz w:val="20"/>
          <w:szCs w:val="20"/>
        </w:rPr>
        <w:t>Agosto</w:t>
      </w:r>
      <w:proofErr w:type="gramEnd"/>
      <w:r>
        <w:rPr>
          <w:rFonts w:ascii="Verdana" w:hAnsi="Verdana" w:cs="Verdana"/>
          <w:color w:val="000000"/>
          <w:kern w:val="0"/>
          <w:sz w:val="20"/>
          <w:szCs w:val="20"/>
        </w:rPr>
        <w:t>, el padre disfrutará de la compañía de su hijo en periodos quincenales alternativos y nunca consecutivos, quedando distribuidos los periodos de la siguiente forma:</w:t>
      </w:r>
      <w:r>
        <w:rPr>
          <w:rFonts w:ascii="Verdana" w:hAnsi="Verdana" w:cs="Verdana"/>
          <w:color w:val="000000"/>
          <w:kern w:val="0"/>
          <w:sz w:val="20"/>
          <w:szCs w:val="20"/>
        </w:rPr>
        <w:tab/>
      </w:r>
    </w:p>
    <w:p w14:paraId="2C420D9B"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7D10C3C7"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Del 1 de julio a las 12.00h. hasta el 15 de julio a las 12.00h.</w:t>
      </w:r>
      <w:r>
        <w:rPr>
          <w:rFonts w:ascii="Verdana" w:hAnsi="Verdana" w:cs="Verdana"/>
          <w:color w:val="000000"/>
          <w:kern w:val="0"/>
          <w:sz w:val="20"/>
          <w:szCs w:val="20"/>
        </w:rPr>
        <w:tab/>
      </w:r>
    </w:p>
    <w:p w14:paraId="0733ACA5"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6472F973"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Del 15 de julio a las 12.00h. hasta el 30 de julio a las 12.00h.</w:t>
      </w:r>
      <w:r>
        <w:rPr>
          <w:rFonts w:ascii="Verdana" w:hAnsi="Verdana" w:cs="Verdana"/>
          <w:color w:val="000000"/>
          <w:kern w:val="0"/>
          <w:sz w:val="20"/>
          <w:szCs w:val="20"/>
        </w:rPr>
        <w:tab/>
      </w:r>
    </w:p>
    <w:p w14:paraId="29D8A3DE"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7713557C"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Del 30 de julio a las 12.00h. hasta el 15 de agosto a las 12.00h.</w:t>
      </w:r>
      <w:r>
        <w:rPr>
          <w:rFonts w:ascii="Verdana" w:hAnsi="Verdana" w:cs="Verdana"/>
          <w:color w:val="000000"/>
          <w:kern w:val="0"/>
          <w:sz w:val="20"/>
          <w:szCs w:val="20"/>
        </w:rPr>
        <w:tab/>
      </w:r>
    </w:p>
    <w:p w14:paraId="3BC36E15"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5362F52B"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Del 15 de agosto a las 12.00h. hasta el 31 de agosto a las 12.00h.</w:t>
      </w:r>
      <w:r>
        <w:rPr>
          <w:rFonts w:ascii="Verdana" w:hAnsi="Verdana" w:cs="Verdana"/>
          <w:color w:val="000000"/>
          <w:kern w:val="0"/>
          <w:sz w:val="20"/>
          <w:szCs w:val="20"/>
        </w:rPr>
        <w:tab/>
      </w:r>
    </w:p>
    <w:p w14:paraId="16644EC9"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212F3888"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Corresponderá la elección del periodo a la madre en los años pares y al padre en los impares.</w:t>
      </w:r>
      <w:r>
        <w:rPr>
          <w:rFonts w:ascii="Verdana" w:hAnsi="Verdana" w:cs="Verdana"/>
          <w:color w:val="000000"/>
          <w:kern w:val="0"/>
          <w:sz w:val="20"/>
          <w:szCs w:val="20"/>
        </w:rPr>
        <w:tab/>
      </w:r>
    </w:p>
    <w:p w14:paraId="2B988622"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155EA032"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La elección deberá ser comunicada con una antelación mínima de un mes a la fecha de disfrute.</w:t>
      </w:r>
      <w:r>
        <w:rPr>
          <w:rFonts w:ascii="Verdana" w:hAnsi="Verdana" w:cs="Verdana"/>
          <w:color w:val="000000"/>
          <w:kern w:val="0"/>
          <w:sz w:val="20"/>
          <w:szCs w:val="20"/>
        </w:rPr>
        <w:tab/>
      </w:r>
    </w:p>
    <w:p w14:paraId="6A344978"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72F38058"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Transcurrido dicho año comenzará automáticamente un sistema de custodia compartida, semanal, de domingo a domingo, quedando, en defecto de acuerdo, el progenitor que no tenga en su compañía a su hijo encargado de recoger a al menor en el domicilio del otro progenitor al principio de su semana (se fija, en defecto de acuerdo, como hora de recogida las 20:00 horas). Este régimen será alterado únicamente en los periodos vacacionales, que se disfrutarán en la forma prevista para la fase 3 del régimen progresivo.</w:t>
      </w:r>
      <w:r>
        <w:rPr>
          <w:rFonts w:ascii="Verdana" w:hAnsi="Verdana" w:cs="Verdana"/>
          <w:color w:val="000000"/>
          <w:kern w:val="0"/>
          <w:sz w:val="20"/>
          <w:szCs w:val="20"/>
        </w:rPr>
        <w:tab/>
      </w:r>
    </w:p>
    <w:p w14:paraId="028FA490"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5BA8CDB3"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Cada progenitor sufragará los gastos ordinarios que genere el alimento y vestido de su hijo cuando se encuentre en su compañía. Los gastos extraordinarios se satisfarán entre ambos progenitores por partes iguales.</w:t>
      </w:r>
      <w:r>
        <w:rPr>
          <w:rFonts w:ascii="Verdana" w:hAnsi="Verdana" w:cs="Verdana"/>
          <w:color w:val="000000"/>
          <w:kern w:val="0"/>
          <w:sz w:val="20"/>
          <w:szCs w:val="20"/>
        </w:rPr>
        <w:tab/>
      </w:r>
    </w:p>
    <w:p w14:paraId="75E83E5E"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69AD9408"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El progenitor que no tenga en su compañía al menor podrá pasar con el mismo la tarde del miércoles, desde la salida del colegio hasta las 20,00 horas.</w:t>
      </w:r>
      <w:r>
        <w:rPr>
          <w:rFonts w:ascii="Verdana" w:hAnsi="Verdana" w:cs="Verdana"/>
          <w:color w:val="000000"/>
          <w:kern w:val="0"/>
          <w:sz w:val="20"/>
          <w:szCs w:val="20"/>
        </w:rPr>
        <w:tab/>
      </w:r>
    </w:p>
    <w:p w14:paraId="4314E8B9"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lastRenderedPageBreak/>
        <w:tab/>
      </w:r>
    </w:p>
    <w:p w14:paraId="1430D7AD"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El progenitor que no tenga atribuida la guarda semanal o la estancia en un determinado día tendrá derecho a comunicarse libremente con su hijo durante, al menos, media hora, siempre que se respeten las actividades extraescolares y no perturbe el descanso de </w:t>
      </w:r>
      <w:proofErr w:type="gramStart"/>
      <w:r>
        <w:rPr>
          <w:rFonts w:ascii="Verdana" w:hAnsi="Verdana" w:cs="Verdana"/>
          <w:color w:val="000000"/>
          <w:kern w:val="0"/>
          <w:sz w:val="20"/>
          <w:szCs w:val="20"/>
        </w:rPr>
        <w:t>la misma</w:t>
      </w:r>
      <w:proofErr w:type="gramEnd"/>
      <w:r>
        <w:rPr>
          <w:rFonts w:ascii="Verdana" w:hAnsi="Verdana" w:cs="Verdana"/>
          <w:color w:val="000000"/>
          <w:kern w:val="0"/>
          <w:sz w:val="20"/>
          <w:szCs w:val="20"/>
        </w:rPr>
        <w:t>. El otro progenitor deberá facilitar esta comunicación.</w:t>
      </w:r>
      <w:r>
        <w:rPr>
          <w:rFonts w:ascii="Verdana" w:hAnsi="Verdana" w:cs="Verdana"/>
          <w:color w:val="000000"/>
          <w:kern w:val="0"/>
          <w:sz w:val="20"/>
          <w:szCs w:val="20"/>
        </w:rPr>
        <w:tab/>
      </w:r>
    </w:p>
    <w:p w14:paraId="30CED2DA"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097BC838"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4.- Durante la vigencia del periodo de guarda monoparental se fija una pensión de alimentos de 200 euros mensuales, cantidad que se estima razonable a la vista la averiguación patrimonial y la documentación económica aportada por las partes.</w:t>
      </w:r>
      <w:r>
        <w:rPr>
          <w:rFonts w:ascii="Verdana" w:hAnsi="Verdana" w:cs="Verdana"/>
          <w:color w:val="000000"/>
          <w:kern w:val="0"/>
          <w:sz w:val="20"/>
          <w:szCs w:val="20"/>
        </w:rPr>
        <w:tab/>
      </w:r>
    </w:p>
    <w:p w14:paraId="6CBCC9B5"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21931BE4"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Dicha cantidad será ingresada dentro de los cinco primeros días de cada mes en la cuenta bancaria que al efecto la madre. Se eliminará una vez se establezca el régimen de custodia compartida, transcurrido el año de la presente resolución.</w:t>
      </w:r>
      <w:r>
        <w:rPr>
          <w:rFonts w:ascii="Verdana" w:hAnsi="Verdana" w:cs="Verdana"/>
          <w:color w:val="000000"/>
          <w:kern w:val="0"/>
          <w:sz w:val="20"/>
          <w:szCs w:val="20"/>
        </w:rPr>
        <w:tab/>
      </w:r>
    </w:p>
    <w:p w14:paraId="23A1CC7A"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112E2536"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Los gastos extraordinarios se abonarán por mitad, siempre que estén de acuerdo en ello y que quede acreditación documental de modo fehaciente, debiendo ser decididos conjuntamente por ambos progenitores o, en caso de discrepancia, autorizados judicialmente, en ambos casos con carácter previo.</w:t>
      </w:r>
      <w:r>
        <w:rPr>
          <w:rFonts w:ascii="Verdana" w:hAnsi="Verdana" w:cs="Verdana"/>
          <w:color w:val="000000"/>
          <w:kern w:val="0"/>
          <w:sz w:val="20"/>
          <w:szCs w:val="20"/>
        </w:rPr>
        <w:tab/>
      </w:r>
    </w:p>
    <w:p w14:paraId="325647A2"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3306E27A"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No se condena a ninguna de las partes al pago de las costas </w:t>
      </w:r>
      <w:proofErr w:type="gramStart"/>
      <w:r>
        <w:rPr>
          <w:rFonts w:ascii="Verdana" w:hAnsi="Verdana" w:cs="Verdana"/>
          <w:color w:val="000000"/>
          <w:kern w:val="0"/>
          <w:sz w:val="20"/>
          <w:szCs w:val="20"/>
        </w:rPr>
        <w:t>procesales..</w:t>
      </w:r>
      <w:proofErr w:type="gramEnd"/>
      <w:r>
        <w:rPr>
          <w:rFonts w:ascii="Verdana" w:hAnsi="Verdana" w:cs="Verdana"/>
          <w:color w:val="000000"/>
          <w:kern w:val="0"/>
          <w:sz w:val="20"/>
          <w:szCs w:val="20"/>
        </w:rPr>
        <w:t>".</w:t>
      </w:r>
      <w:r>
        <w:rPr>
          <w:rFonts w:ascii="Verdana" w:hAnsi="Verdana" w:cs="Verdana"/>
          <w:color w:val="000000"/>
          <w:kern w:val="0"/>
          <w:sz w:val="20"/>
          <w:szCs w:val="20"/>
        </w:rPr>
        <w:tab/>
      </w:r>
    </w:p>
    <w:p w14:paraId="2A2B26E2"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547F674B"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w:t>
      </w:r>
      <w:r>
        <w:rPr>
          <w:rFonts w:ascii="Verdana" w:hAnsi="Verdana" w:cs="Verdana"/>
          <w:b/>
          <w:bCs/>
          <w:color w:val="000000"/>
          <w:kern w:val="0"/>
          <w:sz w:val="20"/>
          <w:szCs w:val="20"/>
        </w:rPr>
        <w:t xml:space="preserve">  </w:t>
      </w:r>
      <w:r>
        <w:rPr>
          <w:rFonts w:ascii="Verdana" w:hAnsi="Verdana" w:cs="Verdana"/>
          <w:b/>
          <w:bCs/>
          <w:color w:val="000000"/>
          <w:kern w:val="0"/>
          <w:sz w:val="20"/>
          <w:szCs w:val="20"/>
          <w:u w:val="single"/>
        </w:rPr>
        <w:t xml:space="preserve"> SEGUNDO.- </w:t>
      </w:r>
      <w:r>
        <w:rPr>
          <w:rFonts w:ascii="Verdana" w:hAnsi="Verdana" w:cs="Verdana"/>
          <w:b/>
          <w:bCs/>
          <w:color w:val="000000"/>
          <w:kern w:val="0"/>
          <w:sz w:val="20"/>
          <w:szCs w:val="20"/>
        </w:rPr>
        <w:t xml:space="preserve">  </w:t>
      </w:r>
      <w:r>
        <w:rPr>
          <w:rFonts w:ascii="Verdana" w:hAnsi="Verdana" w:cs="Verdana"/>
          <w:color w:val="000000"/>
          <w:kern w:val="0"/>
          <w:sz w:val="20"/>
          <w:szCs w:val="20"/>
        </w:rPr>
        <w:t xml:space="preserve"> En fecha 11 de febrero de 2025, se dictó Auto de complemento de dicha Sentencia por el referido Tribunal, cuya parte dispositiva es como sigue:</w:t>
      </w:r>
      <w:r>
        <w:rPr>
          <w:rFonts w:ascii="Verdana" w:hAnsi="Verdana" w:cs="Verdana"/>
          <w:color w:val="000000"/>
          <w:kern w:val="0"/>
          <w:sz w:val="20"/>
          <w:szCs w:val="20"/>
        </w:rPr>
        <w:tab/>
      </w:r>
    </w:p>
    <w:p w14:paraId="36AA951E"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492776D1"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"Se completa la omisión advertido </w:t>
      </w:r>
      <w:proofErr w:type="gramStart"/>
      <w:r>
        <w:rPr>
          <w:rFonts w:ascii="Verdana" w:hAnsi="Verdana" w:cs="Verdana"/>
          <w:color w:val="000000"/>
          <w:kern w:val="0"/>
          <w:sz w:val="20"/>
          <w:szCs w:val="20"/>
        </w:rPr>
        <w:t xml:space="preserve">en </w:t>
      </w:r>
      <w:r>
        <w:rPr>
          <w:rFonts w:ascii="Verdana" w:hAnsi="Verdana" w:cs="Verdana"/>
          <w:i/>
          <w:iCs/>
          <w:color w:val="000000"/>
          <w:kern w:val="0"/>
          <w:sz w:val="20"/>
          <w:szCs w:val="20"/>
        </w:rPr>
        <w:t xml:space="preserve"> Sentencia</w:t>
      </w:r>
      <w:proofErr w:type="gramEnd"/>
      <w:r>
        <w:rPr>
          <w:rFonts w:ascii="Verdana" w:hAnsi="Verdana" w:cs="Verdana"/>
          <w:i/>
          <w:iCs/>
          <w:color w:val="000000"/>
          <w:kern w:val="0"/>
          <w:sz w:val="20"/>
          <w:szCs w:val="20"/>
        </w:rPr>
        <w:t xml:space="preserve"> Núm.147/2024 de fecha 05/12/2024 </w:t>
      </w:r>
      <w:r>
        <w:rPr>
          <w:rFonts w:ascii="Verdana" w:hAnsi="Verdana" w:cs="Verdana"/>
          <w:color w:val="000000"/>
          <w:kern w:val="0"/>
          <w:sz w:val="20"/>
          <w:szCs w:val="20"/>
        </w:rPr>
        <w:t>, consistente en que no se ha incluido en el contenido del Fallo lo establecido en el Fundamento de Derecho Sexto de dicha resolución, relativo a la vivienda familiar, , en los siguientes términos:</w:t>
      </w:r>
      <w:r>
        <w:rPr>
          <w:rFonts w:ascii="Verdana" w:hAnsi="Verdana" w:cs="Verdana"/>
          <w:color w:val="000000"/>
          <w:kern w:val="0"/>
          <w:sz w:val="20"/>
          <w:szCs w:val="20"/>
        </w:rPr>
        <w:tab/>
      </w:r>
    </w:p>
    <w:p w14:paraId="0A05FE61"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22FC8989"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En el FALLO deberá incluirse el siguiente párrafo:</w:t>
      </w:r>
      <w:r>
        <w:rPr>
          <w:rFonts w:ascii="Verdana" w:hAnsi="Verdana" w:cs="Verdana"/>
          <w:color w:val="000000"/>
          <w:kern w:val="0"/>
          <w:sz w:val="20"/>
          <w:szCs w:val="20"/>
        </w:rPr>
        <w:tab/>
      </w:r>
    </w:p>
    <w:p w14:paraId="4D350C62"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0728ED9D"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La vivienda familiar será para para el menor y la progenitora custodia durante el tiempo de 1 año. Cuando comience la custodia compartida la progenitora tendrá un plazo máximo adicional de 1 año para abonar la vivienda, tiempo a partir del cual la vivienda quedará sin atribución de uso, al regir entonces un régimen de custodia compartida."</w:t>
      </w:r>
      <w:r>
        <w:rPr>
          <w:rFonts w:ascii="Verdana" w:hAnsi="Verdana" w:cs="Verdana"/>
          <w:color w:val="000000"/>
          <w:kern w:val="0"/>
          <w:sz w:val="20"/>
          <w:szCs w:val="20"/>
        </w:rPr>
        <w:tab/>
      </w:r>
    </w:p>
    <w:p w14:paraId="483043A0"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7E9F35AD"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w:t>
      </w:r>
      <w:r>
        <w:rPr>
          <w:rFonts w:ascii="Verdana" w:hAnsi="Verdana" w:cs="Verdana"/>
          <w:b/>
          <w:bCs/>
          <w:color w:val="000000"/>
          <w:kern w:val="0"/>
          <w:sz w:val="20"/>
          <w:szCs w:val="20"/>
        </w:rPr>
        <w:t xml:space="preserve">  </w:t>
      </w:r>
      <w:r>
        <w:rPr>
          <w:rFonts w:ascii="Verdana" w:hAnsi="Verdana" w:cs="Verdana"/>
          <w:b/>
          <w:bCs/>
          <w:color w:val="000000"/>
          <w:kern w:val="0"/>
          <w:sz w:val="20"/>
          <w:szCs w:val="20"/>
          <w:u w:val="single"/>
        </w:rPr>
        <w:t xml:space="preserve"> TERCERO.- </w:t>
      </w:r>
      <w:r>
        <w:rPr>
          <w:rFonts w:ascii="Verdana" w:hAnsi="Verdana" w:cs="Verdana"/>
          <w:b/>
          <w:bCs/>
          <w:color w:val="000000"/>
          <w:kern w:val="0"/>
          <w:sz w:val="20"/>
          <w:szCs w:val="20"/>
        </w:rPr>
        <w:t xml:space="preserve">  </w:t>
      </w:r>
      <w:r>
        <w:rPr>
          <w:rFonts w:ascii="Verdana" w:hAnsi="Verdana" w:cs="Verdana"/>
          <w:color w:val="000000"/>
          <w:kern w:val="0"/>
          <w:sz w:val="20"/>
          <w:szCs w:val="20"/>
        </w:rPr>
        <w:t xml:space="preserve"> Interpuesto el recurso de apelación y admitido a trámite el Tribunal efectuó los oportunos traslados con el resultado que obra en autos y posteriormente elevó los autos a esta Sección de la Audiencia, donde recibido fue turnado, personándose las partes y habiéndose celebrado Vista el día 11 de mayo de 2026.</w:t>
      </w:r>
      <w:r>
        <w:rPr>
          <w:rFonts w:ascii="Verdana" w:hAnsi="Verdana" w:cs="Verdana"/>
          <w:color w:val="000000"/>
          <w:kern w:val="0"/>
          <w:sz w:val="20"/>
          <w:szCs w:val="20"/>
        </w:rPr>
        <w:tab/>
      </w:r>
    </w:p>
    <w:p w14:paraId="3CDB24E9"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3E23CA3F"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w:t>
      </w:r>
      <w:r>
        <w:rPr>
          <w:rFonts w:ascii="Verdana" w:hAnsi="Verdana" w:cs="Verdana"/>
          <w:b/>
          <w:bCs/>
          <w:color w:val="000000"/>
          <w:kern w:val="0"/>
          <w:sz w:val="20"/>
          <w:szCs w:val="20"/>
        </w:rPr>
        <w:t xml:space="preserve">  </w:t>
      </w:r>
      <w:r>
        <w:rPr>
          <w:rFonts w:ascii="Verdana" w:hAnsi="Verdana" w:cs="Verdana"/>
          <w:b/>
          <w:bCs/>
          <w:color w:val="000000"/>
          <w:kern w:val="0"/>
          <w:sz w:val="20"/>
          <w:szCs w:val="20"/>
          <w:u w:val="single"/>
        </w:rPr>
        <w:t xml:space="preserve"> CUARTO.- </w:t>
      </w:r>
      <w:r>
        <w:rPr>
          <w:rFonts w:ascii="Verdana" w:hAnsi="Verdana" w:cs="Verdana"/>
          <w:b/>
          <w:bCs/>
          <w:color w:val="000000"/>
          <w:kern w:val="0"/>
          <w:sz w:val="20"/>
          <w:szCs w:val="20"/>
        </w:rPr>
        <w:t xml:space="preserve">  </w:t>
      </w:r>
      <w:r>
        <w:rPr>
          <w:rFonts w:ascii="Verdana" w:hAnsi="Verdana" w:cs="Verdana"/>
          <w:color w:val="000000"/>
          <w:kern w:val="0"/>
          <w:sz w:val="20"/>
          <w:szCs w:val="20"/>
        </w:rPr>
        <w:t xml:space="preserve"> En la tramitación de esta alzada se han observado las prescripciones y formalidades legales.</w:t>
      </w:r>
      <w:r>
        <w:rPr>
          <w:rFonts w:ascii="Verdana" w:hAnsi="Verdana" w:cs="Verdana"/>
          <w:color w:val="000000"/>
          <w:kern w:val="0"/>
          <w:sz w:val="20"/>
          <w:szCs w:val="20"/>
        </w:rPr>
        <w:tab/>
      </w:r>
    </w:p>
    <w:p w14:paraId="7E12B74A"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2F0E7B02"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p>
    <w:p w14:paraId="5991CF92"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b/>
          <w:bCs/>
          <w:color w:val="0000FF"/>
          <w:kern w:val="0"/>
          <w:sz w:val="20"/>
          <w:szCs w:val="20"/>
        </w:rPr>
        <w:t>FUNDAMENTOS DE DERECHO</w:t>
      </w:r>
    </w:p>
    <w:p w14:paraId="49D4F7B2"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Se acepta la fundamentación jurídica de la sentencia apelada.</w:t>
      </w:r>
    </w:p>
    <w:p w14:paraId="0A2F3179"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4F899F36"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lastRenderedPageBreak/>
        <w:tab/>
        <w:t xml:space="preserve">  </w:t>
      </w:r>
      <w:r>
        <w:rPr>
          <w:rFonts w:ascii="Verdana" w:hAnsi="Verdana" w:cs="Verdana"/>
          <w:b/>
          <w:bCs/>
          <w:color w:val="000000"/>
          <w:kern w:val="0"/>
          <w:sz w:val="20"/>
          <w:szCs w:val="20"/>
        </w:rPr>
        <w:t xml:space="preserve">  </w:t>
      </w:r>
      <w:r>
        <w:rPr>
          <w:rFonts w:ascii="Verdana" w:hAnsi="Verdana" w:cs="Verdana"/>
          <w:b/>
          <w:bCs/>
          <w:color w:val="000000"/>
          <w:kern w:val="0"/>
          <w:sz w:val="20"/>
          <w:szCs w:val="20"/>
          <w:u w:val="single"/>
        </w:rPr>
        <w:t xml:space="preserve"> PRIMERO.- </w:t>
      </w:r>
      <w:r>
        <w:rPr>
          <w:rFonts w:ascii="Verdana" w:hAnsi="Verdana" w:cs="Verdana"/>
          <w:b/>
          <w:bCs/>
          <w:color w:val="000000"/>
          <w:kern w:val="0"/>
          <w:sz w:val="20"/>
          <w:szCs w:val="20"/>
        </w:rPr>
        <w:t xml:space="preserve">  </w:t>
      </w:r>
      <w:r>
        <w:rPr>
          <w:rFonts w:ascii="Verdana" w:hAnsi="Verdana" w:cs="Verdana"/>
          <w:color w:val="000000"/>
          <w:kern w:val="0"/>
          <w:sz w:val="20"/>
          <w:szCs w:val="20"/>
        </w:rPr>
        <w:t xml:space="preserve"> Al objeto de delimitar el debate, se ha de comenzar señalando que nos encontramos en el ámbito de un proceso de divorcio instado por doña Amalia mediante demanda presentada en fecha 4 de febrero de 2021 que resultó admitida a trámite mediante decreto de 6 de octubre siguiente; demanda deducida frente a don Luis </w:t>
      </w:r>
      <w:proofErr w:type="spellStart"/>
      <w:r>
        <w:rPr>
          <w:rFonts w:ascii="Verdana" w:hAnsi="Verdana" w:cs="Verdana"/>
          <w:color w:val="000000"/>
          <w:kern w:val="0"/>
          <w:sz w:val="20"/>
          <w:szCs w:val="20"/>
        </w:rPr>
        <w:t>Angel</w:t>
      </w:r>
      <w:proofErr w:type="spellEnd"/>
      <w:r>
        <w:rPr>
          <w:rFonts w:ascii="Verdana" w:hAnsi="Verdana" w:cs="Verdana"/>
          <w:color w:val="000000"/>
          <w:kern w:val="0"/>
          <w:sz w:val="20"/>
          <w:szCs w:val="20"/>
        </w:rPr>
        <w:t xml:space="preserve"> con quien contrajo matrimonio en fecha 8 de octubre de 2016 y que dio como fruto el nacimiento de Valentín en fecha NUM000 de 2018.</w:t>
      </w:r>
    </w:p>
    <w:p w14:paraId="6DADB38E"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3BCE3FBA"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Pues bien; como sido el caso, que la sentencia dictada por el Juzgado (tras la fijación como punto de partida de un régimen de guarda y custodia monoparental a favor de doña Amalia y un </w:t>
      </w:r>
      <w:proofErr w:type="spellStart"/>
      <w:r>
        <w:rPr>
          <w:rFonts w:ascii="Verdana" w:hAnsi="Verdana" w:cs="Verdana"/>
          <w:color w:val="000000"/>
          <w:kern w:val="0"/>
          <w:sz w:val="20"/>
          <w:szCs w:val="20"/>
        </w:rPr>
        <w:t>regimen</w:t>
      </w:r>
      <w:proofErr w:type="spellEnd"/>
      <w:r>
        <w:rPr>
          <w:rFonts w:ascii="Verdana" w:hAnsi="Verdana" w:cs="Verdana"/>
          <w:color w:val="000000"/>
          <w:kern w:val="0"/>
          <w:sz w:val="20"/>
          <w:szCs w:val="20"/>
        </w:rPr>
        <w:t xml:space="preserve"> progresivo de visitas y pernoctas a favor de don Luis </w:t>
      </w:r>
      <w:proofErr w:type="spellStart"/>
      <w:r>
        <w:rPr>
          <w:rFonts w:ascii="Verdana" w:hAnsi="Verdana" w:cs="Verdana"/>
          <w:color w:val="000000"/>
          <w:kern w:val="0"/>
          <w:sz w:val="20"/>
          <w:szCs w:val="20"/>
        </w:rPr>
        <w:t>Angel</w:t>
      </w:r>
      <w:proofErr w:type="spellEnd"/>
      <w:r>
        <w:rPr>
          <w:rFonts w:ascii="Verdana" w:hAnsi="Verdana" w:cs="Verdana"/>
          <w:color w:val="000000"/>
          <w:kern w:val="0"/>
          <w:sz w:val="20"/>
          <w:szCs w:val="20"/>
        </w:rPr>
        <w:t xml:space="preserve"> ) "automáticamente" ha conducido (concretamente desde el 5 de diciembre de 2024) a un régimen de guarda y custodia compartida con limitación temporal de uso y disfrute de la vivienda familiar ("La vivienda familiar será para el menor y la progenitora custodia durante el tiempo de un año. Cuando comience la custodia compartida la progenitora tendrá un plazo máximo adicional de un año para abandonar la vivienda, tiempo partir del cual la vivienda quedará sin atribución de uso, al regir entonces un régimen de guarda y custodia compartida"); finalmente ha acontecido, que doña Amalia ha interpuesto el presente recurso de apelación.</w:t>
      </w:r>
    </w:p>
    <w:p w14:paraId="726FA732"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406E2732"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Recurso, que habida cuenta de la fecha en la que se ha celebrado la vista y teniendo presente lo establecido en el </w:t>
      </w:r>
      <w:r>
        <w:rPr>
          <w:rFonts w:ascii="Verdana" w:hAnsi="Verdana" w:cs="Verdana"/>
          <w:i/>
          <w:iCs/>
          <w:color w:val="000000"/>
          <w:kern w:val="0"/>
          <w:sz w:val="20"/>
          <w:szCs w:val="20"/>
        </w:rPr>
        <w:t xml:space="preserve"> artículo 752-1LEC </w:t>
      </w:r>
      <w:r>
        <w:rPr>
          <w:rFonts w:ascii="Verdana" w:hAnsi="Verdana" w:cs="Verdana"/>
          <w:color w:val="000000"/>
          <w:kern w:val="0"/>
          <w:sz w:val="20"/>
          <w:szCs w:val="20"/>
        </w:rPr>
        <w:t xml:space="preserve"> (el proceso se decidirá con arreglo a los hechos que hayan sido objeto de debate y resulten probados, con independencia del momento en que hubieren sido alegados o introducidos de otra manera en el procedimiento) quedó exclusivamente centrado en las siguientes cuestiones: (I) improcedencia del régimen de guarda y custodia compartida, por resultar procedente un régimen de custodia monoparental a favor de doña Amalia con amplio régimen de visitas a favor de don Luis </w:t>
      </w:r>
      <w:proofErr w:type="spellStart"/>
      <w:r>
        <w:rPr>
          <w:rFonts w:ascii="Verdana" w:hAnsi="Verdana" w:cs="Verdana"/>
          <w:color w:val="000000"/>
          <w:kern w:val="0"/>
          <w:sz w:val="20"/>
          <w:szCs w:val="20"/>
        </w:rPr>
        <w:t>Angel</w:t>
      </w:r>
      <w:proofErr w:type="spellEnd"/>
      <w:r>
        <w:rPr>
          <w:rFonts w:ascii="Verdana" w:hAnsi="Verdana" w:cs="Verdana"/>
          <w:color w:val="000000"/>
          <w:kern w:val="0"/>
          <w:sz w:val="20"/>
          <w:szCs w:val="20"/>
        </w:rPr>
        <w:t xml:space="preserve"> (dos tardes en semana y fines de semana alternos con pernocta desde el viernes por la tarde hasta el lunes por la mañana); (II) indefinida atribución del uso de la vivienda al menor y la madre en cuya compañía queda; (III) restauración, por revocación del régimen de custodia compartida, de la pensión alimenticia a favor del hijo y con cargo a don Luis </w:t>
      </w:r>
      <w:proofErr w:type="spellStart"/>
      <w:r>
        <w:rPr>
          <w:rFonts w:ascii="Verdana" w:hAnsi="Verdana" w:cs="Verdana"/>
          <w:color w:val="000000"/>
          <w:kern w:val="0"/>
          <w:sz w:val="20"/>
          <w:szCs w:val="20"/>
        </w:rPr>
        <w:t>Angel</w:t>
      </w:r>
      <w:proofErr w:type="spellEnd"/>
      <w:r>
        <w:rPr>
          <w:rFonts w:ascii="Verdana" w:hAnsi="Verdana" w:cs="Verdana"/>
          <w:color w:val="000000"/>
          <w:kern w:val="0"/>
          <w:sz w:val="20"/>
          <w:szCs w:val="20"/>
        </w:rPr>
        <w:t xml:space="preserve"> y elevación de la cuantía de la misma de 200 a 300 &amp;#8364; mensuales.</w:t>
      </w:r>
    </w:p>
    <w:p w14:paraId="5CE270B8"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760B2E96"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Frente a dicho recurso don Luis </w:t>
      </w:r>
      <w:proofErr w:type="spellStart"/>
      <w:r>
        <w:rPr>
          <w:rFonts w:ascii="Verdana" w:hAnsi="Verdana" w:cs="Verdana"/>
          <w:color w:val="000000"/>
          <w:kern w:val="0"/>
          <w:sz w:val="20"/>
          <w:szCs w:val="20"/>
        </w:rPr>
        <w:t>Angel</w:t>
      </w:r>
      <w:proofErr w:type="spellEnd"/>
      <w:r>
        <w:rPr>
          <w:rFonts w:ascii="Verdana" w:hAnsi="Verdana" w:cs="Verdana"/>
          <w:color w:val="000000"/>
          <w:kern w:val="0"/>
          <w:sz w:val="20"/>
          <w:szCs w:val="20"/>
        </w:rPr>
        <w:t xml:space="preserve"> ha desplegado igualmente un amplio y actualizado discurso en el que vino a combatir las concretas razones aducidas por la apelante para la revocación del régimen de guarda y custodia compartida que actualmente está en vigor; poniendo igualmente de manifiesto la finalidad interesado de la madre al conectar la custodia del hijo con la indefinida permanencia en la que fue vivienda familiar que es de carácter ganancial. Igualmente, y para el caso de revocarse el régimen de guarda y custodia compartida, solicitó el mantenimiento de la pensión alimenticia en la cuantía establecida en la sentencia apelada.</w:t>
      </w:r>
    </w:p>
    <w:p w14:paraId="26073857"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7E092137"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Por su parte, el Ministerio Fiscal, tras glosar ampliamente el contenido y resultado de la diligencia de audiencia judicial del menor así como aquéllos otros extremos que consideró relevantes, </w:t>
      </w:r>
      <w:proofErr w:type="gramStart"/>
      <w:r>
        <w:rPr>
          <w:rFonts w:ascii="Verdana" w:hAnsi="Verdana" w:cs="Verdana"/>
          <w:color w:val="000000"/>
          <w:kern w:val="0"/>
          <w:sz w:val="20"/>
          <w:szCs w:val="20"/>
        </w:rPr>
        <w:t>vino</w:t>
      </w:r>
      <w:proofErr w:type="gramEnd"/>
      <w:r>
        <w:rPr>
          <w:rFonts w:ascii="Verdana" w:hAnsi="Verdana" w:cs="Verdana"/>
          <w:color w:val="000000"/>
          <w:kern w:val="0"/>
          <w:sz w:val="20"/>
          <w:szCs w:val="20"/>
        </w:rPr>
        <w:t xml:space="preserve"> a solicitar la confirmación de la sentencia apelada.</w:t>
      </w:r>
    </w:p>
    <w:p w14:paraId="3F4C435A"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6BC09DA6"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w:t>
      </w:r>
      <w:r>
        <w:rPr>
          <w:rFonts w:ascii="Verdana" w:hAnsi="Verdana" w:cs="Verdana"/>
          <w:b/>
          <w:bCs/>
          <w:color w:val="000000"/>
          <w:kern w:val="0"/>
          <w:sz w:val="20"/>
          <w:szCs w:val="20"/>
        </w:rPr>
        <w:t xml:space="preserve">  </w:t>
      </w:r>
      <w:r>
        <w:rPr>
          <w:rFonts w:ascii="Verdana" w:hAnsi="Verdana" w:cs="Verdana"/>
          <w:b/>
          <w:bCs/>
          <w:color w:val="000000"/>
          <w:kern w:val="0"/>
          <w:sz w:val="20"/>
          <w:szCs w:val="20"/>
          <w:u w:val="single"/>
        </w:rPr>
        <w:t xml:space="preserve"> SEGUNDO.- </w:t>
      </w:r>
      <w:r>
        <w:rPr>
          <w:rFonts w:ascii="Verdana" w:hAnsi="Verdana" w:cs="Verdana"/>
          <w:b/>
          <w:bCs/>
          <w:color w:val="000000"/>
          <w:kern w:val="0"/>
          <w:sz w:val="20"/>
          <w:szCs w:val="20"/>
        </w:rPr>
        <w:t xml:space="preserve">  </w:t>
      </w:r>
      <w:r>
        <w:rPr>
          <w:rFonts w:ascii="Verdana" w:hAnsi="Verdana" w:cs="Verdana"/>
          <w:color w:val="000000"/>
          <w:kern w:val="0"/>
          <w:sz w:val="20"/>
          <w:szCs w:val="20"/>
        </w:rPr>
        <w:t xml:space="preserve"> Planteado así el debate y revisado el contenido de las actuaciones, se ha de anticipar que el recurso debe ser desestimado.</w:t>
      </w:r>
    </w:p>
    <w:p w14:paraId="576CCDDB"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042241C6"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En este sentido se considera conveniente poner de manifiesto los siguientes extremos:</w:t>
      </w:r>
    </w:p>
    <w:p w14:paraId="3141FC08"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4B6E9419"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lastRenderedPageBreak/>
        <w:tab/>
        <w:t xml:space="preserve"> A) En este tipo de proceso, y por razón de la naturaleza indisponible de las concretas y encontradas pretensiones que respectivamente defienden las partes, rige una flexibilidad procedimental (jurisprudencialmente es reiterada la expresión "lo trascendental en ellos no es tanto su modo como el resultado") que es incompatible con el alambicada discurso realizado por la parte apelada en orden a la inadmisibilidad del recurso de apelación por su extemporaneidad ( del " segundo" recurso de apelación planteado por la representación de doña Amalia y de las innovaciones que en el mismo se introducen).</w:t>
      </w:r>
    </w:p>
    <w:p w14:paraId="6C347113"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32E2D89E"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Téngase presente en este sentido, que el núcleo del debate gira en torno al régimen de guarda y custodia y , por tanto, al estar ante una cuestión de naturaleza indisponible, lo relevante es que en los apartados 1 y 2 del 752 LEC se ha consagrado, con proyección a la fase de apelación, y, la excepción del principio de preclusión, del principio dispositivo y del principio de aportación de parte.</w:t>
      </w:r>
    </w:p>
    <w:p w14:paraId="439D02D6"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7982929F"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En definitiva, y de forma resumida: si constitucional y jurisprudencialmente está sancionada la posibilidad de cambio de pretensión ( </w:t>
      </w:r>
      <w:r>
        <w:rPr>
          <w:rFonts w:ascii="Verdana" w:hAnsi="Verdana" w:cs="Verdana"/>
          <w:i/>
          <w:iCs/>
          <w:color w:val="000000"/>
          <w:kern w:val="0"/>
          <w:sz w:val="20"/>
          <w:szCs w:val="20"/>
        </w:rPr>
        <w:t xml:space="preserve"> STC 178/2020 de 14 de diciembre </w:t>
      </w:r>
      <w:r>
        <w:rPr>
          <w:rFonts w:ascii="Verdana" w:hAnsi="Verdana" w:cs="Verdana"/>
          <w:color w:val="000000"/>
          <w:kern w:val="0"/>
          <w:sz w:val="20"/>
          <w:szCs w:val="20"/>
        </w:rPr>
        <w:t xml:space="preserve"> ), y si igualmente está sancionada la posibilidad de que el juez supere en favor del interés del menor el principio de congruencia e incluso la proscripción de la denominada </w:t>
      </w:r>
      <w:proofErr w:type="spellStart"/>
      <w:r>
        <w:rPr>
          <w:rFonts w:ascii="Verdana" w:hAnsi="Verdana" w:cs="Verdana"/>
          <w:color w:val="000000"/>
          <w:kern w:val="0"/>
          <w:sz w:val="20"/>
          <w:szCs w:val="20"/>
        </w:rPr>
        <w:t>reformatio</w:t>
      </w:r>
      <w:proofErr w:type="spellEnd"/>
      <w:r>
        <w:rPr>
          <w:rFonts w:ascii="Verdana" w:hAnsi="Verdana" w:cs="Verdana"/>
          <w:color w:val="000000"/>
          <w:kern w:val="0"/>
          <w:sz w:val="20"/>
          <w:szCs w:val="20"/>
        </w:rPr>
        <w:t xml:space="preserve"> in </w:t>
      </w:r>
      <w:proofErr w:type="spellStart"/>
      <w:r>
        <w:rPr>
          <w:rFonts w:ascii="Verdana" w:hAnsi="Verdana" w:cs="Verdana"/>
          <w:color w:val="000000"/>
          <w:kern w:val="0"/>
          <w:sz w:val="20"/>
          <w:szCs w:val="20"/>
        </w:rPr>
        <w:t>peius</w:t>
      </w:r>
      <w:proofErr w:type="spellEnd"/>
      <w:r>
        <w:rPr>
          <w:rFonts w:ascii="Verdana" w:hAnsi="Verdana" w:cs="Verdana"/>
          <w:color w:val="000000"/>
          <w:kern w:val="0"/>
          <w:sz w:val="20"/>
          <w:szCs w:val="20"/>
        </w:rPr>
        <w:t xml:space="preserve"> ex </w:t>
      </w:r>
      <w:r>
        <w:rPr>
          <w:rFonts w:ascii="Verdana" w:hAnsi="Verdana" w:cs="Verdana"/>
          <w:i/>
          <w:iCs/>
          <w:color w:val="000000"/>
          <w:kern w:val="0"/>
          <w:sz w:val="20"/>
          <w:szCs w:val="20"/>
        </w:rPr>
        <w:t xml:space="preserve"> artículo 465-5 LEC </w:t>
      </w:r>
      <w:r>
        <w:rPr>
          <w:rFonts w:ascii="Verdana" w:hAnsi="Verdana" w:cs="Verdana"/>
          <w:color w:val="000000"/>
          <w:kern w:val="0"/>
          <w:sz w:val="20"/>
          <w:szCs w:val="20"/>
        </w:rPr>
        <w:t>, ninguna razón es de apreciar en orden a la inadmisibilidad del recurso cuando, tal y como es el caso, toda la controversia ha sido sometida a detenido debate y no se aprecia (ni tan siquiera se alega) razón concreta de indefensión.</w:t>
      </w:r>
    </w:p>
    <w:p w14:paraId="213FD786"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293BE99A"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B) El régimen progresivo fijado en la sentencia apelada, que "automáticamente" y tras las diversas fases de visitas (duración total de un año) ha culminado en un régimen de guarda y custodia compartida, se considera pragmáticamente acertado desde el punto y hora que no consta hecho objetivo alguno, que ponga de manifiesto su improcedencia por resultar contrario al interés prevalente del menor.</w:t>
      </w:r>
    </w:p>
    <w:p w14:paraId="7A7D7C14"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3B0E01E1"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Esto es, merced al individualizado régimen progresivo contemplado en la sentencia apelada, lo relevante es que varios meses antes al día de la celebración de la vista de este recurso se había alcanzado el régimen </w:t>
      </w:r>
      <w:proofErr w:type="spellStart"/>
      <w:r>
        <w:rPr>
          <w:rFonts w:ascii="Verdana" w:hAnsi="Verdana" w:cs="Verdana"/>
          <w:color w:val="000000"/>
          <w:kern w:val="0"/>
          <w:sz w:val="20"/>
          <w:szCs w:val="20"/>
        </w:rPr>
        <w:t>régimen</w:t>
      </w:r>
      <w:proofErr w:type="spellEnd"/>
      <w:r>
        <w:rPr>
          <w:rFonts w:ascii="Verdana" w:hAnsi="Verdana" w:cs="Verdana"/>
          <w:color w:val="000000"/>
          <w:kern w:val="0"/>
          <w:sz w:val="20"/>
          <w:szCs w:val="20"/>
        </w:rPr>
        <w:t xml:space="preserve"> de guarda y custodia compartida con alternancia semanal ; y como dicho régimen es el que normalmente ( con arreglo a un criterio jurisprudencial tan reiterado que excluye la necesidad de cualquier cita) es el régimen que idealmente y carácter general debe de regular la convivencia de ambos progenitores con los hijos comunes en orden al adecuado desarrollo integral de su personalidad, no cabe duda, que la cuestión significativa y aquí relevante se traduce en determinar si constan debidamente acreditados hechos o circunstancias que denoten, que su permanencia y desarrollo suponga perjuicio para el interés superior del menor.</w:t>
      </w:r>
    </w:p>
    <w:p w14:paraId="236ADCE5"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55A913F5"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Y la respuesta a dicha cuestión entendemos que debe ser negativa por las siguientes razones:</w:t>
      </w:r>
    </w:p>
    <w:p w14:paraId="526F84E1"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1B4994A4"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1-Es cierto, que el menor durante el desarrollo de la diligencia de su audiencia ha venido a manifestar su preferencia por la madre (al ser sobradamente conocido el contenido del acta, procede tener aquí por reproducidos todos y cada una de las manifestaciones realizada por el menor en relación a las actividades que desarrolla con su padre, con la madre, asistencia a consultas médicas, dificultades que está teniendo en el colegio, etc.), pero no es menos cierto, que en dicha audiencia (que se prolongó unos 30 minutos y se desarrolló en un ambiente totalmente distendido, el menor vino </w:t>
      </w:r>
      <w:r>
        <w:rPr>
          <w:rFonts w:ascii="Verdana" w:hAnsi="Verdana" w:cs="Verdana"/>
          <w:color w:val="000000"/>
          <w:kern w:val="0"/>
          <w:sz w:val="20"/>
          <w:szCs w:val="20"/>
        </w:rPr>
        <w:lastRenderedPageBreak/>
        <w:t>a alternar momentos de intensa espontaneidad, con momentos en los que se hacía evidente el "recuerdo" de lo que había estado pensando desde hace unos días, ayudado por su madre, cuando supo que iba a ser oído por el juez).</w:t>
      </w:r>
    </w:p>
    <w:p w14:paraId="70D81671"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2CE1D61A"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2-La audiencia del menor no es un medio de prueba, y precisamente por no serlo, el juez no debe basar exclusivamente su decisión en lo que el menor le haya podido decir, pues lo contrario (y abstracción hecha de que lo relevante en ocasiones no es sólo lo dicho, sino como se dijo) supondría que la decisión judicial descansa en el criterio de una persona menor de edad que, por madura que sea, debe ser protegida por los poderes públicos.</w:t>
      </w:r>
    </w:p>
    <w:p w14:paraId="6EDF7065"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0CE7C170"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Cuestión distinta es que la audiencia del menor sirva para conocer la opinión de este y en la medida de lo posible, tratar de satisfacer sus deseos, si estos no entran en contradicción con su superior interés, pero la decisión judicial deberá basarse en la prueba practicada de forma contradictoria y con igualdad de armas, valoradas con arreglo a los parámetros establecidos en </w:t>
      </w:r>
      <w:proofErr w:type="gramStart"/>
      <w:r>
        <w:rPr>
          <w:rFonts w:ascii="Verdana" w:hAnsi="Verdana" w:cs="Verdana"/>
          <w:color w:val="000000"/>
          <w:kern w:val="0"/>
          <w:sz w:val="20"/>
          <w:szCs w:val="20"/>
        </w:rPr>
        <w:t xml:space="preserve">el </w:t>
      </w:r>
      <w:r>
        <w:rPr>
          <w:rFonts w:ascii="Verdana" w:hAnsi="Verdana" w:cs="Verdana"/>
          <w:i/>
          <w:iCs/>
          <w:color w:val="000000"/>
          <w:kern w:val="0"/>
          <w:sz w:val="20"/>
          <w:szCs w:val="20"/>
        </w:rPr>
        <w:t xml:space="preserve"> artículo</w:t>
      </w:r>
      <w:proofErr w:type="gramEnd"/>
      <w:r>
        <w:rPr>
          <w:rFonts w:ascii="Verdana" w:hAnsi="Verdana" w:cs="Verdana"/>
          <w:i/>
          <w:iCs/>
          <w:color w:val="000000"/>
          <w:kern w:val="0"/>
          <w:sz w:val="20"/>
          <w:szCs w:val="20"/>
        </w:rPr>
        <w:t xml:space="preserve"> 218-2 LEC </w:t>
      </w:r>
      <w:r>
        <w:rPr>
          <w:rFonts w:ascii="Verdana" w:hAnsi="Verdana" w:cs="Verdana"/>
          <w:color w:val="000000"/>
          <w:kern w:val="0"/>
          <w:sz w:val="20"/>
          <w:szCs w:val="20"/>
        </w:rPr>
        <w:t>.</w:t>
      </w:r>
    </w:p>
    <w:p w14:paraId="31F4AB26"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125692E5"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3-No cabe duda que la práctica diaria muestra casos en los que debe de valorarse la posible "mediatización" del menor y, por tanto casos en los que debe valorarse si el menor presenta un discurso automatizado o utiliza un lenguaje de adultos impropio de su nivel de desarrollo, extremo éste que, a nuestro juicio, surge en el presente caso, y ello desde el punto y hora que un menor que no ha alcanzado aún los ocho años de edad no sólo narra con reiteración y desparpajo las dificultades que sufre cuando está con su padre, sino que incluso muestra significativas previsiones de futuro ( "que piensa más adelante puede hacer más locuras").</w:t>
      </w:r>
    </w:p>
    <w:p w14:paraId="1E4E169D"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34C63A16"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4- El interés del menor no ha de coincidir necesariamente con su voluntad, sino que dicho interés debe establecerse a raíz de un análisis objetivo de las circunstancias del caso; análisis que debe ir orientado a la búsqueda o apreciación de dos circunstancias relevantes y complementarias: por un lado, si el menor tiene suficiente madurez para emitir una opinión de un modo razonable y razonado y si dicha opinión se sustenta en concretas circunstancias que, al menos y nivel lógico, resulten coherentes; por otro lado, si la opinión del mismo responde a una voluntad autónoma firme y decidida, ajena a inducciones o influencias extrañas y a caprichos o inclinaciones pasajeras.</w:t>
      </w:r>
    </w:p>
    <w:p w14:paraId="33AF288C"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61B3526E"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5-La documental significativamente acotada por la apelante para otorgar verosimilitud a lo afirmado por el menor en orden a la angustia que le provoca estar con su padre y al mal resultado que ello le produce en el colegio (documental presentada con su escrito de 21 de enero de 2026 consistente en documentación clínica - centro público de salud -de fecha 12 de mayo, 16 de junio y 22 de julio de 2025 y 8 de enero de 2026, no es objetivamente significativa desde el punto y hora que no refleja ninguna constatación clínica sino que exclusivamente pone de manifiesto " referencias" del menor o su madre; por otro lado la documental de 20 de junio de 2025, si bien pone de manifiesto manifiesta que el niño no quiere estar con el padre y que recibe por su parte gritos e insultos, no procede obviar que no se trata de un informe emitido por doctor sino por trabajador social; e igual acaece con el informe de 16 de junio de 2025 elaborado por la tutora del colegio que si bien es expresivo de que el niño está teniendo un bajo rendimiento y parece más distraído sin embargo entra en contradicción con la documental presentada por la parte apelada como documento agrupado ocho presentado con su escrito de 26 de enero de 2026, en la que consta que la primera evaluación ha sido estable y con buenas notas).</w:t>
      </w:r>
    </w:p>
    <w:p w14:paraId="376E426B"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1BF6D166"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lastRenderedPageBreak/>
        <w:tab/>
        <w:t xml:space="preserve"> Por el contrario, también es de destacar documental presentada por la parte apelada, bloques documentales seis y siete de los presentados con su escrito de 26 de enero de 2026 consistentes en hojas de consulta, en cuanto acreditativas de que el padre también lleva al menor al médico cuando sufre episodios de enfermedad.</w:t>
      </w:r>
    </w:p>
    <w:p w14:paraId="66CBF751"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39DBC048"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6-Es cierto, y así quedó constatado en el acto de la vista que, al margen de este procedimiento, doña Amalia han estado otros cinco procedimientos frente a don Luis </w:t>
      </w:r>
      <w:proofErr w:type="spellStart"/>
      <w:r>
        <w:rPr>
          <w:rFonts w:ascii="Verdana" w:hAnsi="Verdana" w:cs="Verdana"/>
          <w:color w:val="000000"/>
          <w:kern w:val="0"/>
          <w:sz w:val="20"/>
          <w:szCs w:val="20"/>
        </w:rPr>
        <w:t>Angel</w:t>
      </w:r>
      <w:proofErr w:type="spellEnd"/>
      <w:r>
        <w:rPr>
          <w:rFonts w:ascii="Verdana" w:hAnsi="Verdana" w:cs="Verdana"/>
          <w:color w:val="000000"/>
          <w:kern w:val="0"/>
          <w:sz w:val="20"/>
          <w:szCs w:val="20"/>
        </w:rPr>
        <w:t xml:space="preserve"> (ejecución por impago de pensiones en fecha 10 de enero de 2025; ejecución por no cumplimiento de régimen de visitas en fecha 28 de febrero de 2025; denuncia contra el </w:t>
      </w:r>
      <w:proofErr w:type="spellStart"/>
      <w:r>
        <w:rPr>
          <w:rFonts w:ascii="Verdana" w:hAnsi="Verdana" w:cs="Verdana"/>
          <w:color w:val="000000"/>
          <w:kern w:val="0"/>
          <w:sz w:val="20"/>
          <w:szCs w:val="20"/>
        </w:rPr>
        <w:t>el</w:t>
      </w:r>
      <w:proofErr w:type="spellEnd"/>
      <w:r>
        <w:rPr>
          <w:rFonts w:ascii="Verdana" w:hAnsi="Verdana" w:cs="Verdana"/>
          <w:color w:val="000000"/>
          <w:kern w:val="0"/>
          <w:sz w:val="20"/>
          <w:szCs w:val="20"/>
        </w:rPr>
        <w:t xml:space="preserve"> abuelo paterno en fecha 6 de marzo de 2025; solicitud de medida urgente ex </w:t>
      </w:r>
      <w:r>
        <w:rPr>
          <w:rFonts w:ascii="Verdana" w:hAnsi="Verdana" w:cs="Verdana"/>
          <w:i/>
          <w:iCs/>
          <w:color w:val="000000"/>
          <w:kern w:val="0"/>
          <w:sz w:val="20"/>
          <w:szCs w:val="20"/>
        </w:rPr>
        <w:t xml:space="preserve"> artículo 158 Código Civil </w:t>
      </w:r>
      <w:r>
        <w:rPr>
          <w:rFonts w:ascii="Verdana" w:hAnsi="Verdana" w:cs="Verdana"/>
          <w:color w:val="000000"/>
          <w:kern w:val="0"/>
          <w:sz w:val="20"/>
          <w:szCs w:val="20"/>
        </w:rPr>
        <w:t xml:space="preserve"> en noviembre de 2025; ejecución por no permitir videollamada en enero de 2026); y es cierto que el padre ha instado la ejecución del régimen de visitas en fecha 31 de julio de 2025; pero es igualmente cierto, y así lo puso de manifiesto el Ministerio Fiscal, que el régimen de guarda y custodia como norma general en situaciones de quiebra de la unidad familiar y como más adecuado al interés del menor no puede quedar suprimido por la artificiosa litigiosidad provocada por una de las partes; máxime cuando, tal y como pragmáticamente añadió la parte apelada, dicha artificiosidad a la hora de provocar la exclusión del régimen de guarda y custodia conecta con la interesada atribución sin límite temporal de la vivienda ganancial común.</w:t>
      </w:r>
    </w:p>
    <w:p w14:paraId="3E6C6C8A"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608CB090"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7- El informe psicosocial de fecha 21 de septiembre de 2024, pone de manifiesto: que don Luis </w:t>
      </w:r>
      <w:proofErr w:type="spellStart"/>
      <w:r>
        <w:rPr>
          <w:rFonts w:ascii="Verdana" w:hAnsi="Verdana" w:cs="Verdana"/>
          <w:color w:val="000000"/>
          <w:kern w:val="0"/>
          <w:sz w:val="20"/>
          <w:szCs w:val="20"/>
        </w:rPr>
        <w:t>Angel</w:t>
      </w:r>
      <w:proofErr w:type="spellEnd"/>
      <w:r>
        <w:rPr>
          <w:rFonts w:ascii="Verdana" w:hAnsi="Verdana" w:cs="Verdana"/>
          <w:color w:val="000000"/>
          <w:kern w:val="0"/>
          <w:sz w:val="20"/>
          <w:szCs w:val="20"/>
        </w:rPr>
        <w:t xml:space="preserve"> y doña Amalia no se ven afectados por algún tipo de patología mental o dificultad psicológica que pueda entorpecer un adecuado ejercicio de la parentalidad; que ambos muestran el mismo estilo educativo de tipo asertivo; que existen entre ambos dificultades de comunicación aunque ambos refieren predisposición al diálogo constructivo y muestra flexibilidad al respecto; que la distancia entre los respectivos domicilios es pequeña por lo que no supone inestabilidad para el entorno del menor considerando que ambos progenitores disponen de familia extensa en la misma localidad; que el menor se encuentra en una etapa de desarrollo en la que es crucial que no pierda el contacto frecuente con ninguno de los progenitores; que se debe garantizar y promover el </w:t>
      </w:r>
      <w:proofErr w:type="spellStart"/>
      <w:r>
        <w:rPr>
          <w:rFonts w:ascii="Verdana" w:hAnsi="Verdana" w:cs="Verdana"/>
          <w:color w:val="000000"/>
          <w:kern w:val="0"/>
          <w:sz w:val="20"/>
          <w:szCs w:val="20"/>
        </w:rPr>
        <w:t>vinculo</w:t>
      </w:r>
      <w:proofErr w:type="spellEnd"/>
      <w:r>
        <w:rPr>
          <w:rFonts w:ascii="Verdana" w:hAnsi="Verdana" w:cs="Verdana"/>
          <w:color w:val="000000"/>
          <w:kern w:val="0"/>
          <w:sz w:val="20"/>
          <w:szCs w:val="20"/>
        </w:rPr>
        <w:t xml:space="preserve"> del menor con cada uno de ellos; y que sería beneficioso para el menor, transcurrido un año de desarrollo progresivo de las visitas paterno filiales y si las circunstancias son favorables, el establecimiento de una guarda y custodia compartida.</w:t>
      </w:r>
    </w:p>
    <w:p w14:paraId="105E7AA1"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13931EB3"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8-En definitiva la situación alcanzada del régimen y custodia compartida no sólo obedece a un correcto entendimiento e interpretación conjunta del material probatorio obrante en autos (en el cual por razón de su objetividad y profesionalidad es de destacar el referido informe psicosocial) sino que pragmáticamente se ha revelado como correcta desde el punto y hora que la parte apelante no ha conseguido articular una objeción mínimamente seria al mismo; siendo de destacar en este sentido, amén de las demoledoras consideraciones expuestas por la parte apelada en relación a la intrascendencia de la referida documental clínica en cuanto que, en lo que aquí interesa, exclusivamente refleja meras referencias del menor o de su madre no constatadas objetivamente, que mal puede obviarse la razón de incongruencia en la que incide la pretensión de la parte apelante, pues mal se comprende que si la estancia del menor con el padre resulta tan perjudicial para Valentín, sin embargo, se proponga la continuación indefinida de un régimen de visitas y periodos vacacionales tan amplio como es el derivado de la fase tercera establecida en la sentencia apelada, y ello sin olvidar que esa incongruencia priva de razón la exclusión del régimen de guarda y custodia compartida como más atinente al interés prevalente del menor (y en este sentido, consideramos suficiente remitirnos a la reiterada y conocida </w:t>
      </w:r>
      <w:r>
        <w:rPr>
          <w:rFonts w:ascii="Verdana" w:hAnsi="Verdana" w:cs="Verdana"/>
          <w:color w:val="000000"/>
          <w:kern w:val="0"/>
          <w:sz w:val="20"/>
          <w:szCs w:val="20"/>
        </w:rPr>
        <w:lastRenderedPageBreak/>
        <w:t xml:space="preserve">jurisprudencia que glosa los beneficios del mismo, entre la cual y entre otras muchas puede destacarse </w:t>
      </w:r>
      <w:r>
        <w:rPr>
          <w:rFonts w:ascii="Verdana" w:hAnsi="Verdana" w:cs="Verdana"/>
          <w:i/>
          <w:iCs/>
          <w:color w:val="000000"/>
          <w:kern w:val="0"/>
          <w:sz w:val="20"/>
          <w:szCs w:val="20"/>
        </w:rPr>
        <w:t xml:space="preserve"> STS de 21 de octubre de 2015 </w:t>
      </w:r>
      <w:r>
        <w:rPr>
          <w:rFonts w:ascii="Verdana" w:hAnsi="Verdana" w:cs="Verdana"/>
          <w:color w:val="000000"/>
          <w:kern w:val="0"/>
          <w:sz w:val="20"/>
          <w:szCs w:val="20"/>
        </w:rPr>
        <w:t xml:space="preserve"> cuyo condensado al respecto damos aquí íntegramente por reproducido).</w:t>
      </w:r>
    </w:p>
    <w:p w14:paraId="0E0D72F3"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34FF976A"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No obstante lo anterior y habida cuenta de las concretas circunstancias del caso consideramos conveniente remarcar los siguientes extremos: (i) que la custodia compartida no es un premio ni castigo a los progenitores, sino el sistema normalmente más adecuado que se adopta siempre que sea compatible con el interés del menor, sin que ello suponga necesariamente, recompensa o reproche; (</w:t>
      </w:r>
      <w:proofErr w:type="spellStart"/>
      <w:r>
        <w:rPr>
          <w:rFonts w:ascii="Verdana" w:hAnsi="Verdana" w:cs="Verdana"/>
          <w:color w:val="000000"/>
          <w:kern w:val="0"/>
          <w:sz w:val="20"/>
          <w:szCs w:val="20"/>
        </w:rPr>
        <w:t>ii</w:t>
      </w:r>
      <w:proofErr w:type="spellEnd"/>
      <w:r>
        <w:rPr>
          <w:rFonts w:ascii="Verdana" w:hAnsi="Verdana" w:cs="Verdana"/>
          <w:color w:val="000000"/>
          <w:kern w:val="0"/>
          <w:sz w:val="20"/>
          <w:szCs w:val="20"/>
        </w:rPr>
        <w:t>) que la mera conflictividad entre los progenitores -- máxime si ésta consiste en una exuberancia procesal profesional y artificiosamente diseñada - no es suficiente para denegar el régimen de custodia compartida si no perjudica el interés del menor (y este perjuicio, insistimos, en el caso de autos no consta, pues una cosa es el interés prevalente del menor y otra cosa bien distinta el interés particular de uno u otro progenitor); téngase presente en todo caso, tal y como igualmente han declarado la jurisprudencia de un modo tan reiterado que excusa la necesidad de cualquier cita, que el hecho de que los progenitores no se encuentren en buena armonía es una consecuencia lógica tras una decisión de ruptura conyugal, pues lo insólito sería una situación de entrañable convivencia, ya que lo relevante es la razonable posibilidad apuntada en el referido informe psicosocial en orden a la actitud de ambos en favor de un mínimo de comunicación y respeto mutuo que permita el desarrollo del régimen (extremo éste respecto del cual no procede olvidar que la imposibilidad pragmática de su desarrollo en el futuro puede derivar en un proceso de modificación de medidas con la atribución de un régimen monoparental en favor del progenitor a cuya conducta no le sea imputable el eventual fracaso del régimen de guarda y custodia compartida).</w:t>
      </w:r>
    </w:p>
    <w:p w14:paraId="4C608DC1"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2F2B138F"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C) La cuestión relativa a la atribución del que fue domicilio familiar viene exclusivamente planteada sobre la encadenada base de resultar procedente la revocación de la sentencia en lo relativo al régimen de guarda y custodia compartida; razón por la cual no estimándose dicha pretensión revocatoria, resulta incólume lo que en relación a dicha atribución y uso viene establecido en la sentencia.</w:t>
      </w:r>
    </w:p>
    <w:p w14:paraId="229A24C0"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0E809E63"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No obstante lo anterior se considera conveniente poner de manifiesto los siguientes extremos:</w:t>
      </w:r>
    </w:p>
    <w:p w14:paraId="7748FE20"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4649FA60"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-Que la custodia compartida está establecida en interés del menor, no en interés de los progenitores.</w:t>
      </w:r>
    </w:p>
    <w:p w14:paraId="1F170C52"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5240584A"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-Que en el presente caso la vivienda familiar es de carácter ganancial.</w:t>
      </w:r>
    </w:p>
    <w:p w14:paraId="0987F90F"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406A76B0"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-Que en dicha tesitura y constando que entre ambos progenitores no existe una significativa diferencia de ingresos netos mensuales, pues ambos se mueven en el margen de una modesta economía </w:t>
      </w:r>
      <w:proofErr w:type="spellStart"/>
      <w:r>
        <w:rPr>
          <w:rFonts w:ascii="Verdana" w:hAnsi="Verdana" w:cs="Verdana"/>
          <w:color w:val="000000"/>
          <w:kern w:val="0"/>
          <w:sz w:val="20"/>
          <w:szCs w:val="20"/>
        </w:rPr>
        <w:t>incardinable</w:t>
      </w:r>
      <w:proofErr w:type="spellEnd"/>
      <w:r>
        <w:rPr>
          <w:rFonts w:ascii="Verdana" w:hAnsi="Verdana" w:cs="Verdana"/>
          <w:color w:val="000000"/>
          <w:kern w:val="0"/>
          <w:sz w:val="20"/>
          <w:szCs w:val="20"/>
        </w:rPr>
        <w:t xml:space="preserve"> en la pinza 1300-1500 &amp;#8364;; y teniendo especialmente en cuenta, que no se aprecia (ni tan siquiera ha sido alegado) que la situación económica de doña Amalia genere riesgo o puesta en peligro del régimen de custodia compartida por no poder alcanzar una vivienda en la que atender las propias necesidades habitacionales y las necesidades de Valentín cuando esté en su compañía (en el acto de la vista ha quedado meridianamente claro que don Luis </w:t>
      </w:r>
      <w:proofErr w:type="spellStart"/>
      <w:r>
        <w:rPr>
          <w:rFonts w:ascii="Verdana" w:hAnsi="Verdana" w:cs="Verdana"/>
          <w:color w:val="000000"/>
          <w:kern w:val="0"/>
          <w:sz w:val="20"/>
          <w:szCs w:val="20"/>
        </w:rPr>
        <w:t>Angel</w:t>
      </w:r>
      <w:proofErr w:type="spellEnd"/>
      <w:r>
        <w:rPr>
          <w:rFonts w:ascii="Verdana" w:hAnsi="Verdana" w:cs="Verdana"/>
          <w:color w:val="000000"/>
          <w:kern w:val="0"/>
          <w:sz w:val="20"/>
          <w:szCs w:val="20"/>
        </w:rPr>
        <w:t xml:space="preserve"> tiene vivienda propia al haber arrendado un piso), resulta totalmente correcta la respuesta ofrecida la sentencia apelada por cuanto que, en línea con la doctrina jurisprudencial que remite como referencia a lo establecido en el último párrafo del </w:t>
      </w:r>
      <w:r>
        <w:rPr>
          <w:rFonts w:ascii="Verdana" w:hAnsi="Verdana" w:cs="Verdana"/>
          <w:i/>
          <w:iCs/>
          <w:color w:val="000000"/>
          <w:kern w:val="0"/>
          <w:sz w:val="20"/>
          <w:szCs w:val="20"/>
        </w:rPr>
        <w:t xml:space="preserve"> apartado 1 del artículo 96 Código Civil </w:t>
      </w:r>
      <w:r>
        <w:rPr>
          <w:rFonts w:ascii="Verdana" w:hAnsi="Verdana" w:cs="Verdana"/>
          <w:color w:val="000000"/>
          <w:kern w:val="0"/>
          <w:sz w:val="20"/>
          <w:szCs w:val="20"/>
        </w:rPr>
        <w:t xml:space="preserve">, no hace atribución indefinida del uso de la que fue la vivienda familiar y si armoniza los intereses contrapuestos de los titulares en </w:t>
      </w:r>
      <w:r>
        <w:rPr>
          <w:rFonts w:ascii="Verdana" w:hAnsi="Verdana" w:cs="Verdana"/>
          <w:color w:val="000000"/>
          <w:kern w:val="0"/>
          <w:sz w:val="20"/>
          <w:szCs w:val="20"/>
        </w:rPr>
        <w:lastRenderedPageBreak/>
        <w:t>relación a la vivienda común y en relación al interés del hijo a relacionarse con uno y otro progenitor en una vivienda.</w:t>
      </w:r>
    </w:p>
    <w:p w14:paraId="4F58074B"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7F1C9B6A"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D) Al mantenerse el alcanzado régimen de guarda y custodia compartida y no haberse establecido en la sentencia apelada abono de pensión alimenticia durante dicho régimen, resulta innecesaria cualquier consideración en orden a la cuestión citada en el recurso con carácter eventual y relativa a la elevación de la pensión alimenticia que estaba establecida con cargo a don Luis </w:t>
      </w:r>
      <w:proofErr w:type="spellStart"/>
      <w:r>
        <w:rPr>
          <w:rFonts w:ascii="Verdana" w:hAnsi="Verdana" w:cs="Verdana"/>
          <w:color w:val="000000"/>
          <w:kern w:val="0"/>
          <w:sz w:val="20"/>
          <w:szCs w:val="20"/>
        </w:rPr>
        <w:t>Angel</w:t>
      </w:r>
      <w:proofErr w:type="spellEnd"/>
      <w:r>
        <w:rPr>
          <w:rFonts w:ascii="Verdana" w:hAnsi="Verdana" w:cs="Verdana"/>
          <w:color w:val="000000"/>
          <w:kern w:val="0"/>
          <w:sz w:val="20"/>
          <w:szCs w:val="20"/>
        </w:rPr>
        <w:t xml:space="preserve"> durante las fases previas a dicho régimen.</w:t>
      </w:r>
    </w:p>
    <w:p w14:paraId="0783232E"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4CE93DF4"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w:t>
      </w:r>
      <w:r>
        <w:rPr>
          <w:rFonts w:ascii="Verdana" w:hAnsi="Verdana" w:cs="Verdana"/>
          <w:b/>
          <w:bCs/>
          <w:color w:val="000000"/>
          <w:kern w:val="0"/>
          <w:sz w:val="20"/>
          <w:szCs w:val="20"/>
        </w:rPr>
        <w:t xml:space="preserve">  </w:t>
      </w:r>
      <w:r>
        <w:rPr>
          <w:rFonts w:ascii="Verdana" w:hAnsi="Verdana" w:cs="Verdana"/>
          <w:b/>
          <w:bCs/>
          <w:color w:val="000000"/>
          <w:kern w:val="0"/>
          <w:sz w:val="20"/>
          <w:szCs w:val="20"/>
          <w:u w:val="single"/>
        </w:rPr>
        <w:t xml:space="preserve"> TERCERO.- </w:t>
      </w:r>
      <w:r>
        <w:rPr>
          <w:rFonts w:ascii="Verdana" w:hAnsi="Verdana" w:cs="Verdana"/>
          <w:b/>
          <w:bCs/>
          <w:color w:val="000000"/>
          <w:kern w:val="0"/>
          <w:sz w:val="20"/>
          <w:szCs w:val="20"/>
        </w:rPr>
        <w:t xml:space="preserve">  </w:t>
      </w:r>
      <w:r>
        <w:rPr>
          <w:rFonts w:ascii="Verdana" w:hAnsi="Verdana" w:cs="Verdana"/>
          <w:color w:val="000000"/>
          <w:kern w:val="0"/>
          <w:sz w:val="20"/>
          <w:szCs w:val="20"/>
        </w:rPr>
        <w:t xml:space="preserve"> Supone lo anterior la integra desestimación del recurso, no obstante y habida cuenta del especial naturaleza de las cuestiones controvertidas, se considera que no procede la expresa imposición de las costas causadas en esta alzada.</w:t>
      </w:r>
    </w:p>
    <w:p w14:paraId="2AFA93DB"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6A0706B5"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p>
    <w:p w14:paraId="2A9938E7"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b/>
          <w:bCs/>
          <w:color w:val="0000FF"/>
          <w:kern w:val="0"/>
          <w:sz w:val="20"/>
          <w:szCs w:val="20"/>
        </w:rPr>
        <w:t>FALLO</w:t>
      </w:r>
    </w:p>
    <w:p w14:paraId="5328C604"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Se desestima el recurso de apelación interpuesto por el Procurador señor Orti Baquerizo, en representación de doña Amalia, frente a </w:t>
      </w:r>
      <w:proofErr w:type="gramStart"/>
      <w:r>
        <w:rPr>
          <w:rFonts w:ascii="Verdana" w:hAnsi="Verdana" w:cs="Verdana"/>
          <w:color w:val="000000"/>
          <w:kern w:val="0"/>
          <w:sz w:val="20"/>
          <w:szCs w:val="20"/>
        </w:rPr>
        <w:t xml:space="preserve">la </w:t>
      </w:r>
      <w:r>
        <w:rPr>
          <w:rFonts w:ascii="Verdana" w:hAnsi="Verdana" w:cs="Verdana"/>
          <w:i/>
          <w:iCs/>
          <w:color w:val="000000"/>
          <w:kern w:val="0"/>
          <w:sz w:val="20"/>
          <w:szCs w:val="20"/>
        </w:rPr>
        <w:t xml:space="preserve"> sentencia</w:t>
      </w:r>
      <w:proofErr w:type="gramEnd"/>
      <w:r>
        <w:rPr>
          <w:rFonts w:ascii="Verdana" w:hAnsi="Verdana" w:cs="Verdana"/>
          <w:i/>
          <w:iCs/>
          <w:color w:val="000000"/>
          <w:kern w:val="0"/>
          <w:sz w:val="20"/>
          <w:szCs w:val="20"/>
        </w:rPr>
        <w:t xml:space="preserve"> dictada por la Sra. Juez del Juzgado de 1ª Instancia número 1 de Posadas, en fecha 5 de diciembre de 2024 </w:t>
      </w:r>
      <w:r>
        <w:rPr>
          <w:rFonts w:ascii="Verdana" w:hAnsi="Verdana" w:cs="Verdana"/>
          <w:color w:val="000000"/>
          <w:kern w:val="0"/>
          <w:sz w:val="20"/>
          <w:szCs w:val="20"/>
        </w:rPr>
        <w:t>, complementada por auto de 11 de febrero de 2025, que se confirma.</w:t>
      </w:r>
    </w:p>
    <w:p w14:paraId="5E4167F6"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0E3E2069"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Sin imposición de costas.</w:t>
      </w:r>
    </w:p>
    <w:p w14:paraId="006E2009"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1BCF9C1D"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Contra esta resolución cabe recurso de casación del que conocería la Sala 1ª del Tribunal Supremo, a interponer ante esta Sala en el plazo de veinte días con los requisitos que establece </w:t>
      </w:r>
      <w:proofErr w:type="gramStart"/>
      <w:r>
        <w:rPr>
          <w:rFonts w:ascii="Verdana" w:hAnsi="Verdana" w:cs="Verdana"/>
          <w:color w:val="000000"/>
          <w:kern w:val="0"/>
          <w:sz w:val="20"/>
          <w:szCs w:val="20"/>
        </w:rPr>
        <w:t xml:space="preserve">el </w:t>
      </w:r>
      <w:r>
        <w:rPr>
          <w:rFonts w:ascii="Verdana" w:hAnsi="Verdana" w:cs="Verdana"/>
          <w:i/>
          <w:iCs/>
          <w:color w:val="000000"/>
          <w:kern w:val="0"/>
          <w:sz w:val="20"/>
          <w:szCs w:val="20"/>
        </w:rPr>
        <w:t xml:space="preserve"> artículo</w:t>
      </w:r>
      <w:proofErr w:type="gramEnd"/>
      <w:r>
        <w:rPr>
          <w:rFonts w:ascii="Verdana" w:hAnsi="Verdana" w:cs="Verdana"/>
          <w:i/>
          <w:iCs/>
          <w:color w:val="000000"/>
          <w:kern w:val="0"/>
          <w:sz w:val="20"/>
          <w:szCs w:val="20"/>
        </w:rPr>
        <w:t xml:space="preserve"> 477 y siguientes de la Ley de Enjuiciamiento </w:t>
      </w:r>
      <w:proofErr w:type="gramStart"/>
      <w:r>
        <w:rPr>
          <w:rFonts w:ascii="Verdana" w:hAnsi="Verdana" w:cs="Verdana"/>
          <w:i/>
          <w:iCs/>
          <w:color w:val="000000"/>
          <w:kern w:val="0"/>
          <w:sz w:val="20"/>
          <w:szCs w:val="20"/>
        </w:rPr>
        <w:t xml:space="preserve">Civil </w:t>
      </w:r>
      <w:r>
        <w:rPr>
          <w:rFonts w:ascii="Verdana" w:hAnsi="Verdana" w:cs="Verdana"/>
          <w:color w:val="000000"/>
          <w:kern w:val="0"/>
          <w:sz w:val="20"/>
          <w:szCs w:val="20"/>
        </w:rPr>
        <w:t xml:space="preserve"> y</w:t>
      </w:r>
      <w:proofErr w:type="gramEnd"/>
      <w:r>
        <w:rPr>
          <w:rFonts w:ascii="Verdana" w:hAnsi="Verdana" w:cs="Verdana"/>
          <w:color w:val="000000"/>
          <w:kern w:val="0"/>
          <w:sz w:val="20"/>
          <w:szCs w:val="20"/>
        </w:rPr>
        <w:t xml:space="preserve"> conforme a los criterios del Acuerdo de 8.9.2023 aprobados por la Sala de Gobierno del Tribunal Supremo.</w:t>
      </w:r>
    </w:p>
    <w:p w14:paraId="06A4C9C6"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7ADD699C"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Notifíquese la presente resolución a las partes, y verificado, expídase testimonio de </w:t>
      </w:r>
      <w:proofErr w:type="gramStart"/>
      <w:r>
        <w:rPr>
          <w:rFonts w:ascii="Verdana" w:hAnsi="Verdana" w:cs="Verdana"/>
          <w:color w:val="000000"/>
          <w:kern w:val="0"/>
          <w:sz w:val="20"/>
          <w:szCs w:val="20"/>
        </w:rPr>
        <w:t>la misma</w:t>
      </w:r>
      <w:proofErr w:type="gramEnd"/>
      <w:r>
        <w:rPr>
          <w:rFonts w:ascii="Verdana" w:hAnsi="Verdana" w:cs="Verdana"/>
          <w:color w:val="000000"/>
          <w:kern w:val="0"/>
          <w:sz w:val="20"/>
          <w:szCs w:val="20"/>
        </w:rPr>
        <w:t xml:space="preserve"> que, con los autos originales, se remitirá al Juzgado de procedencia, para su ejecución y cumplimiento.</w:t>
      </w:r>
    </w:p>
    <w:p w14:paraId="1B298278"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227EE9F9"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Así por esta nuestra sentencia, de la que se llevará certificación literal al rollo de apelación, definitivamente juzgando en segunda instancia, lo pronunciamos, mandamos y firmamos.</w:t>
      </w:r>
    </w:p>
    <w:p w14:paraId="79E2A7A8"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0746CCB3"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E/.</w:t>
      </w:r>
    </w:p>
    <w:p w14:paraId="42279B76"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r>
    </w:p>
    <w:p w14:paraId="0483CCB2" w14:textId="77777777" w:rsidR="00000000" w:rsidRDefault="00000000">
      <w:pPr>
        <w:widowControl w:val="0"/>
        <w:autoSpaceDE w:val="0"/>
        <w:autoSpaceDN w:val="0"/>
        <w:adjustRightInd w:val="0"/>
        <w:spacing w:after="0" w:line="240" w:lineRule="auto"/>
        <w:jc w:val="both"/>
        <w:rPr>
          <w:rFonts w:ascii="Verdana" w:hAnsi="Verdana" w:cs="Verdana"/>
          <w:color w:val="000000"/>
          <w:kern w:val="0"/>
          <w:sz w:val="20"/>
          <w:szCs w:val="20"/>
        </w:rPr>
      </w:pPr>
      <w:r>
        <w:rPr>
          <w:rFonts w:ascii="Verdana" w:hAnsi="Verdana" w:cs="Verdana"/>
          <w:color w:val="000000"/>
          <w:kern w:val="0"/>
          <w:sz w:val="20"/>
          <w:szCs w:val="20"/>
        </w:rPr>
        <w:tab/>
        <w:t xml:space="preserve"> DILIGENCIA.- El original de la presente resolución se lleva al libro de sentencias y resoluciones definitivas para publicidad legal, quedando testimonio unido a autos a efectos de documentación. Doy fe.</w:t>
      </w:r>
    </w:p>
    <w:p w14:paraId="4F507F70" w14:textId="77777777" w:rsidR="00E4153C" w:rsidRDefault="00000000">
      <w:pPr>
        <w:widowControl w:val="0"/>
        <w:autoSpaceDE w:val="0"/>
        <w:autoSpaceDN w:val="0"/>
        <w:adjustRightInd w:val="0"/>
        <w:spacing w:after="0" w:line="240" w:lineRule="auto"/>
        <w:jc w:val="both"/>
      </w:pPr>
      <w:r>
        <w:rPr>
          <w:rFonts w:ascii="Verdana" w:hAnsi="Verdana" w:cs="Verdana"/>
          <w:color w:val="000000"/>
          <w:kern w:val="0"/>
          <w:sz w:val="20"/>
          <w:szCs w:val="20"/>
        </w:rPr>
        <w:tab/>
      </w:r>
    </w:p>
    <w:sectPr w:rsidR="00E4153C">
      <w:pgSz w:w="12240" w:h="15840"/>
      <w:pgMar w:top="1417" w:right="1701" w:bottom="1417"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54"/>
    <w:rsid w:val="006F663B"/>
    <w:rsid w:val="00E4153C"/>
    <w:rsid w:val="00EA52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212853"/>
  <w14:defaultImageDpi w14:val="0"/>
  <w15:docId w15:val="{99EF0B4F-88C1-49DA-BF59-506066538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4654</Words>
  <Characters>25598</Characters>
  <Application>Microsoft Office Word</Application>
  <DocSecurity>0</DocSecurity>
  <Lines>213</Lines>
  <Paragraphs>60</Paragraphs>
  <ScaleCrop>false</ScaleCrop>
  <Company/>
  <LinksUpToDate>false</LinksUpToDate>
  <CharactersWithSpaces>30192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Pérez Martín</dc:creator>
  <cp:keywords/>
  <dc:description/>
  <cp:lastModifiedBy>Javier Pérez Martín</cp:lastModifiedBy>
  <cp:revision>2</cp:revision>
  <dcterms:created xsi:type="dcterms:W3CDTF">2026-07-27T08:31:00Z</dcterms:created>
  <dcterms:modified xsi:type="dcterms:W3CDTF">2026-07-27T08:31:00Z</dcterms:modified>
</cp:coreProperties>
</file>